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7290" w14:textId="77777777" w:rsidR="00F95F1B" w:rsidRDefault="00B122E0" w:rsidP="008F3423">
      <w:pPr>
        <w:pStyle w:val="Title"/>
        <w:spacing w:before="2000"/>
        <w:jc w:val="center"/>
      </w:pPr>
      <w:r>
        <w:t>Cloud AI as a Structural</w:t>
      </w:r>
      <w:r>
        <w:br/>
        <w:t>Point of Failure</w:t>
      </w:r>
    </w:p>
    <w:p w14:paraId="1F9ED921" w14:textId="77777777" w:rsidR="00F95F1B" w:rsidRDefault="00B122E0" w:rsidP="008F3423">
      <w:pPr>
        <w:pStyle w:val="Subtitle"/>
        <w:spacing w:after="440"/>
        <w:jc w:val="center"/>
      </w:pPr>
      <w:r>
        <w:rPr>
          <w:sz w:val="40"/>
        </w:rPr>
        <w:t>The Case for Sovereign AI</w:t>
      </w:r>
    </w:p>
    <w:p w14:paraId="2BFC8029" w14:textId="77777777" w:rsidR="00F95F1B" w:rsidRDefault="00B122E0" w:rsidP="008F3423">
      <w:pPr>
        <w:pStyle w:val="Subtitle"/>
        <w:spacing w:after="700"/>
        <w:jc w:val="center"/>
      </w:pPr>
      <w:r>
        <w:t>for Local AI Control in Medium-to-Large Businesses</w:t>
      </w:r>
    </w:p>
    <w:p w14:paraId="10CD6F14" w14:textId="77777777" w:rsidR="008F3423" w:rsidRDefault="008F3423" w:rsidP="008F3423">
      <w:pPr>
        <w:pStyle w:val="CoverMetadata"/>
        <w:jc w:val="center"/>
      </w:pPr>
    </w:p>
    <w:p w14:paraId="342AFF00" w14:textId="77777777" w:rsidR="008F3423" w:rsidRDefault="008F3423" w:rsidP="008F3423">
      <w:pPr>
        <w:pStyle w:val="CoverMetadata"/>
        <w:jc w:val="center"/>
      </w:pPr>
    </w:p>
    <w:p w14:paraId="70856755" w14:textId="77777777" w:rsidR="00F95F1B" w:rsidRDefault="00B122E0" w:rsidP="008F3423">
      <w:pPr>
        <w:pStyle w:val="CoverMetadata"/>
        <w:jc w:val="center"/>
      </w:pPr>
      <w:r>
        <w:t xml:space="preserve">Prepared </w:t>
      </w:r>
      <w:r w:rsidR="008F3423">
        <w:t>by</w:t>
      </w:r>
      <w:r>
        <w:t>: John</w:t>
      </w:r>
      <w:r w:rsidR="008F3423">
        <w:t xml:space="preserve"> W. Salm, III, P.E.</w:t>
      </w:r>
    </w:p>
    <w:p w14:paraId="48DA1AE5" w14:textId="77777777" w:rsidR="008F3423" w:rsidRDefault="008F3423" w:rsidP="008F3423">
      <w:pPr>
        <w:pStyle w:val="CoverMetadata"/>
        <w:jc w:val="center"/>
      </w:pPr>
      <w:r>
        <w:t>www.jwse.ai</w:t>
      </w:r>
    </w:p>
    <w:p w14:paraId="72469622" w14:textId="77777777" w:rsidR="00F95F1B" w:rsidRPr="008F3423" w:rsidRDefault="00D51C46" w:rsidP="008F3423">
      <w:pPr>
        <w:pStyle w:val="CoverMetadata"/>
        <w:jc w:val="center"/>
        <w:rPr>
          <w:i/>
          <w:iCs/>
        </w:rPr>
      </w:pPr>
      <w:r>
        <w:rPr>
          <w:i/>
          <w:iCs/>
        </w:rPr>
        <w:t>w</w:t>
      </w:r>
      <w:r w:rsidR="008F3423" w:rsidRPr="008F3423">
        <w:rPr>
          <w:i/>
          <w:iCs/>
        </w:rPr>
        <w:t>ith the assistance of AI</w:t>
      </w:r>
    </w:p>
    <w:p w14:paraId="18FA997B" w14:textId="77777777" w:rsidR="00F95F1B" w:rsidRDefault="00B122E0" w:rsidP="008F3423">
      <w:pPr>
        <w:pStyle w:val="CoverMetadata"/>
        <w:jc w:val="center"/>
      </w:pPr>
      <w:r>
        <w:t>Date: June 21, 2026</w:t>
      </w:r>
      <w:r w:rsidR="008F3423">
        <w:br/>
        <w:t>Revised: September 13, 2</w:t>
      </w:r>
      <w:r w:rsidR="00480701">
        <w:t>0</w:t>
      </w:r>
      <w:r w:rsidR="008F3423">
        <w:t>26</w:t>
      </w:r>
    </w:p>
    <w:p w14:paraId="60DEB25D" w14:textId="77777777" w:rsidR="00F95F1B" w:rsidRDefault="00B122E0">
      <w:pPr>
        <w:pStyle w:val="Heading1"/>
        <w:pageBreakBefore/>
      </w:pPr>
      <w:r>
        <w:lastRenderedPageBreak/>
        <w:t>Executive Summary</w:t>
      </w:r>
    </w:p>
    <w:p w14:paraId="5A6D79D8" w14:textId="77777777" w:rsidR="00F95F1B" w:rsidRDefault="00B122E0">
      <w:pPr>
        <w:keepNext/>
        <w:keepLines/>
      </w:pPr>
      <w:r>
        <w:t xml:space="preserve">This report argues that cloud-only AI creates a material structural dependency and can become a single point of failure for medium-to-large businesses once AI becomes mission-critical. The claim is not that cloud AI is useless. The claim is that externally hosted frontier AI is externally governable. Providers and governments can restrict, ration, modify, suspend, monitor, route, log, or remove access. The more deeply a business embeds AI into operations, engineering, customer support, security, logistics, </w:t>
      </w:r>
      <w:r>
        <w:t>legal workflows, finance, or institutional memory, the more dangerous cloud-only dependency becomes.</w:t>
      </w:r>
      <w:r>
        <w:rPr>
          <w:vertAlign w:val="superscript"/>
        </w:rPr>
        <w:t>1</w:t>
      </w:r>
    </w:p>
    <w:p w14:paraId="34E82810" w14:textId="77777777" w:rsidR="00F95F1B" w:rsidRDefault="00B122E0">
      <w:pPr>
        <w:keepLines/>
      </w:pPr>
      <w:r>
        <w:t>The practical answer is not ideological rejection of cloud AI. The practical answer is architectural sovereignty. Businesses should use frontier cloud models where they create advantage, but must maintain locally controlled AI capability for continuity, auditability, policy control, and mission assurance. Local AI does not need to beat the frontier. A strong local model that is six months behind frontier capability can still be powerful enough to sustain core business workflows when cloud access fails, chan</w:t>
      </w:r>
      <w:r>
        <w:t>ges, is rationed, or becomes legally restricted.</w:t>
      </w:r>
    </w:p>
    <w:p w14:paraId="4955CA6C" w14:textId="77777777" w:rsidR="00F95F1B" w:rsidRDefault="00B122E0">
      <w:pPr>
        <w:pStyle w:val="Heading2"/>
      </w:pPr>
      <w:r>
        <w:t>Core Finding</w:t>
      </w:r>
    </w:p>
    <w:tbl>
      <w:tblPr>
        <w:tblW w:w="9792" w:type="dxa"/>
        <w:jc w:val="center"/>
        <w:tblLayout w:type="fixed"/>
        <w:tblCellMar>
          <w:top w:w="100" w:type="dxa"/>
          <w:left w:w="115" w:type="dxa"/>
          <w:bottom w:w="100" w:type="dxa"/>
          <w:right w:w="115" w:type="dxa"/>
        </w:tblCellMar>
        <w:tblLook w:val="04A0" w:firstRow="1" w:lastRow="0" w:firstColumn="1" w:lastColumn="0" w:noHBand="0" w:noVBand="1"/>
      </w:tblPr>
      <w:tblGrid>
        <w:gridCol w:w="2952"/>
        <w:gridCol w:w="6840"/>
      </w:tblGrid>
      <w:tr w:rsidR="00F95F1B" w14:paraId="25813184" w14:textId="77777777">
        <w:trPr>
          <w:cantSplit/>
          <w:tblHeader/>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7B437E8D" w14:textId="77777777" w:rsidR="00F95F1B" w:rsidRDefault="00B122E0">
            <w:pPr>
              <w:pStyle w:val="TableBody"/>
              <w:keepNext/>
              <w:keepLines/>
              <w:spacing w:after="0"/>
            </w:pPr>
            <w:r>
              <w:rPr>
                <w:b/>
              </w:rPr>
              <w:t>Conclusion</w:t>
            </w:r>
          </w:p>
        </w:tc>
        <w:tc>
          <w:tcPr>
            <w:tcW w:w="6840"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675AE7F3" w14:textId="77777777" w:rsidR="00F95F1B" w:rsidRDefault="00B122E0">
            <w:pPr>
              <w:pStyle w:val="TableBody"/>
              <w:keepNext/>
              <w:keepLines/>
              <w:spacing w:after="0"/>
            </w:pPr>
            <w:r>
              <w:rPr>
                <w:b/>
              </w:rPr>
              <w:t>Meaning for business architecture</w:t>
            </w:r>
          </w:p>
        </w:tc>
      </w:tr>
      <w:tr w:rsidR="00F95F1B" w14:paraId="25C69DAD"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8555F6E" w14:textId="77777777" w:rsidR="00F95F1B" w:rsidRDefault="00B122E0">
            <w:pPr>
              <w:pStyle w:val="TableBody"/>
              <w:keepLines/>
              <w:spacing w:after="0"/>
            </w:pPr>
            <w:r>
              <w:t>Cloud-only AI is structurally fragile.</w:t>
            </w:r>
          </w:p>
        </w:tc>
        <w:tc>
          <w:tcPr>
            <w:tcW w:w="68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E3AEDEE" w14:textId="77777777" w:rsidR="00F95F1B" w:rsidRDefault="00B122E0">
            <w:pPr>
              <w:pStyle w:val="TableBody"/>
              <w:keepLines/>
              <w:spacing w:after="0"/>
            </w:pPr>
            <w:r>
              <w:t>A business can lose capability without an outage: policy changes, model updates, safety filters, legal directives, regional restrictions, account actions, or capacity rationing can all break workflows.</w:t>
            </w:r>
          </w:p>
        </w:tc>
      </w:tr>
      <w:tr w:rsidR="00F95F1B" w14:paraId="10E7071F"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F9BC3FF" w14:textId="77777777" w:rsidR="00F95F1B" w:rsidRDefault="00B122E0">
            <w:pPr>
              <w:pStyle w:val="TableBody"/>
              <w:keepLines/>
              <w:spacing w:after="0"/>
            </w:pPr>
            <w:r>
              <w:t>The enterprise must own the AI control plane.</w:t>
            </w:r>
          </w:p>
        </w:tc>
        <w:tc>
          <w:tcPr>
            <w:tcW w:w="68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5BAF8C9" w14:textId="77777777" w:rsidR="00F95F1B" w:rsidRDefault="00B122E0">
            <w:pPr>
              <w:pStyle w:val="TableBody"/>
              <w:keepLines/>
              <w:spacing w:after="0"/>
            </w:pPr>
            <w:r>
              <w:t>The company should own data, memory, routing, policies, evals, logging, tool permissions, and fallback execution.</w:t>
            </w:r>
          </w:p>
        </w:tc>
      </w:tr>
      <w:tr w:rsidR="00F95F1B" w14:paraId="386FB58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A08EA69" w14:textId="77777777" w:rsidR="00F95F1B" w:rsidRDefault="00B122E0">
            <w:pPr>
              <w:pStyle w:val="TableBody"/>
              <w:keepLines/>
              <w:spacing w:after="0"/>
            </w:pPr>
            <w:r>
              <w:t>Local AI is a continuity layer.</w:t>
            </w:r>
          </w:p>
        </w:tc>
        <w:tc>
          <w:tcPr>
            <w:tcW w:w="68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3156FD3" w14:textId="77777777" w:rsidR="00F95F1B" w:rsidRDefault="00B122E0">
            <w:pPr>
              <w:pStyle w:val="TableBody"/>
              <w:keepLines/>
              <w:spacing w:after="0"/>
            </w:pPr>
            <w:r>
              <w:t>Local models should handle core workflows at acceptable quality even when frontier cloud models are unavailable, restricted, or unstable.</w:t>
            </w:r>
          </w:p>
        </w:tc>
      </w:tr>
      <w:tr w:rsidR="00F95F1B" w14:paraId="21D8D9A7"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0943857" w14:textId="77777777" w:rsidR="00F95F1B" w:rsidRDefault="00B122E0">
            <w:pPr>
              <w:pStyle w:val="TableBody"/>
              <w:keepLines/>
              <w:spacing w:after="0"/>
            </w:pPr>
            <w:r>
              <w:t>Cloud AI remains useful.</w:t>
            </w:r>
          </w:p>
        </w:tc>
        <w:tc>
          <w:tcPr>
            <w:tcW w:w="68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14226D7" w14:textId="77777777" w:rsidR="00F95F1B" w:rsidRDefault="00B122E0">
            <w:pPr>
              <w:pStyle w:val="TableBody"/>
              <w:keepLines/>
              <w:spacing w:after="0"/>
            </w:pPr>
            <w:r>
              <w:t>Cloud models should be treated as burst capability and frontier acceleration, not as the sole substrate for business cognition.</w:t>
            </w:r>
          </w:p>
        </w:tc>
      </w:tr>
    </w:tbl>
    <w:p w14:paraId="1722A374" w14:textId="77777777" w:rsidR="00F95F1B" w:rsidRDefault="00F95F1B">
      <w:pPr>
        <w:keepNext/>
        <w:keepLines/>
        <w:spacing w:after="0" w:line="240" w:lineRule="auto"/>
      </w:pPr>
    </w:p>
    <w:p w14:paraId="26E54D11" w14:textId="77777777" w:rsidR="00F95F1B" w:rsidRDefault="00B122E0">
      <w:pPr>
        <w:pStyle w:val="Heading1"/>
        <w:pageBreakBefore/>
      </w:pPr>
      <w:r>
        <w:lastRenderedPageBreak/>
        <w:t>The Eight Evidence Pillars</w:t>
      </w:r>
    </w:p>
    <w:tbl>
      <w:tblPr>
        <w:tblW w:w="9792" w:type="dxa"/>
        <w:jc w:val="center"/>
        <w:tblLayout w:type="fixed"/>
        <w:tblCellMar>
          <w:top w:w="100" w:type="dxa"/>
          <w:left w:w="115" w:type="dxa"/>
          <w:bottom w:w="100" w:type="dxa"/>
          <w:right w:w="115" w:type="dxa"/>
        </w:tblCellMar>
        <w:tblLook w:val="04A0" w:firstRow="1" w:lastRow="0" w:firstColumn="1" w:lastColumn="0" w:noHBand="0" w:noVBand="1"/>
      </w:tblPr>
      <w:tblGrid>
        <w:gridCol w:w="504"/>
        <w:gridCol w:w="3240"/>
        <w:gridCol w:w="6048"/>
      </w:tblGrid>
      <w:tr w:rsidR="00F95F1B" w14:paraId="7DE07A0D" w14:textId="77777777">
        <w:trPr>
          <w:cantSplit/>
          <w:tblHeader/>
          <w:jc w:val="center"/>
        </w:trPr>
        <w:tc>
          <w:tcPr>
            <w:tcW w:w="504"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45CA5A4B" w14:textId="77777777" w:rsidR="00F95F1B" w:rsidRDefault="00B122E0">
            <w:pPr>
              <w:pStyle w:val="TableBody"/>
              <w:keepNext/>
              <w:keepLines/>
              <w:spacing w:after="0"/>
              <w:jc w:val="center"/>
            </w:pPr>
            <w:r>
              <w:rPr>
                <w:b/>
              </w:rPr>
              <w:t>#</w:t>
            </w:r>
          </w:p>
        </w:tc>
        <w:tc>
          <w:tcPr>
            <w:tcW w:w="3240"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7EF6D645" w14:textId="77777777" w:rsidR="00F95F1B" w:rsidRDefault="00B122E0">
            <w:pPr>
              <w:pStyle w:val="TableBody"/>
              <w:keepNext/>
              <w:keepLines/>
              <w:spacing w:after="0"/>
            </w:pPr>
            <w:r>
              <w:rPr>
                <w:b/>
              </w:rPr>
              <w:t>Pillar</w:t>
            </w:r>
          </w:p>
        </w:tc>
        <w:tc>
          <w:tcPr>
            <w:tcW w:w="6048"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5E870BE7" w14:textId="77777777" w:rsidR="00F95F1B" w:rsidRDefault="00B122E0">
            <w:pPr>
              <w:pStyle w:val="TableBody"/>
              <w:keepNext/>
              <w:keepLines/>
              <w:spacing w:after="0"/>
            </w:pPr>
            <w:r>
              <w:rPr>
                <w:b/>
              </w:rPr>
              <w:t>Bottom line</w:t>
            </w:r>
          </w:p>
        </w:tc>
      </w:tr>
      <w:tr w:rsidR="00F95F1B" w14:paraId="1DCF291A"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7B73C76" w14:textId="77777777" w:rsidR="00F95F1B" w:rsidRDefault="00B122E0">
            <w:pPr>
              <w:pStyle w:val="TableBody"/>
              <w:keepLines/>
              <w:spacing w:after="0"/>
              <w:jc w:val="center"/>
            </w:pPr>
            <w:r>
              <w:t>1</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B973889" w14:textId="77777777" w:rsidR="00F95F1B" w:rsidRDefault="00B122E0">
            <w:pPr>
              <w:pStyle w:val="TableBody"/>
              <w:keepLines/>
              <w:spacing w:after="0"/>
            </w:pPr>
            <w:r>
              <w:t>Control of intelligence access</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360A60E" w14:textId="77777777" w:rsidR="00F95F1B" w:rsidRDefault="00B122E0">
            <w:pPr>
              <w:pStyle w:val="TableBody"/>
              <w:keepLines/>
              <w:spacing w:after="0"/>
            </w:pPr>
            <w:r>
              <w:t>Frontier model access is conditional and can be governed by providers, governments, regions, and policies.</w:t>
            </w:r>
          </w:p>
        </w:tc>
      </w:tr>
      <w:tr w:rsidR="00F95F1B" w14:paraId="69FC23D8"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F687EE5" w14:textId="77777777" w:rsidR="00F95F1B" w:rsidRDefault="00B122E0">
            <w:pPr>
              <w:pStyle w:val="TableBody"/>
              <w:keepLines/>
              <w:spacing w:after="0"/>
              <w:jc w:val="center"/>
            </w:pPr>
            <w:r>
              <w:t>2</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6D8F6B9" w14:textId="77777777" w:rsidR="00F95F1B" w:rsidRDefault="00B122E0">
            <w:pPr>
              <w:pStyle w:val="TableBody"/>
              <w:keepLines/>
              <w:spacing w:after="0"/>
            </w:pPr>
            <w:r>
              <w:t>Cloud AI as structural point of failure</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C7E07BF" w14:textId="77777777" w:rsidR="00F95F1B" w:rsidRDefault="00B122E0">
            <w:pPr>
              <w:pStyle w:val="TableBody"/>
              <w:keepLines/>
              <w:spacing w:after="0"/>
            </w:pPr>
            <w:r>
              <w:t>Cloud-only AI inherits provider, infrastructure, legal, safety, and business-policy risks.</w:t>
            </w:r>
          </w:p>
        </w:tc>
      </w:tr>
      <w:tr w:rsidR="00F95F1B" w14:paraId="0E2A1DC5"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8F8002C" w14:textId="77777777" w:rsidR="00F95F1B" w:rsidRDefault="00B122E0">
            <w:pPr>
              <w:pStyle w:val="TableBody"/>
              <w:keepLines/>
              <w:spacing w:after="0"/>
              <w:jc w:val="center"/>
            </w:pPr>
            <w:r>
              <w:t>3</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D2B3E46" w14:textId="77777777" w:rsidR="00F95F1B" w:rsidRDefault="00B122E0">
            <w:pPr>
              <w:pStyle w:val="TableBody"/>
              <w:keepLines/>
              <w:spacing w:after="0"/>
            </w:pPr>
            <w:r>
              <w:t>Enterprise architecture shift</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F00D64C" w14:textId="77777777" w:rsidR="00F95F1B" w:rsidRDefault="00B122E0">
            <w:pPr>
              <w:pStyle w:val="TableBody"/>
              <w:keepLines/>
              <w:spacing w:after="0"/>
            </w:pPr>
            <w:r>
              <w:t>Businesses must own the AI control plane and treat cloud models as optional accelerators.</w:t>
            </w:r>
          </w:p>
        </w:tc>
      </w:tr>
      <w:tr w:rsidR="00F95F1B" w14:paraId="63B38749"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0C4C14C" w14:textId="77777777" w:rsidR="00F95F1B" w:rsidRDefault="00B122E0">
            <w:pPr>
              <w:pStyle w:val="TableBody"/>
              <w:keepLines/>
              <w:spacing w:after="0"/>
              <w:jc w:val="center"/>
            </w:pPr>
            <w:r>
              <w:t>4</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73832F7" w14:textId="77777777" w:rsidR="00F95F1B" w:rsidRDefault="00B122E0">
            <w:pPr>
              <w:pStyle w:val="TableBody"/>
              <w:keepLines/>
              <w:spacing w:after="0"/>
            </w:pPr>
            <w:r>
              <w:t>Sovereign/geopolitical fragmentation</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207E39A" w14:textId="77777777" w:rsidR="00F95F1B" w:rsidRDefault="00B122E0">
            <w:pPr>
              <w:pStyle w:val="TableBody"/>
              <w:keepLines/>
              <w:spacing w:after="0"/>
            </w:pPr>
            <w:r>
              <w:t>AI access is splitting by jurisdiction: U.S., EU, China, and other national stacks.</w:t>
            </w:r>
          </w:p>
        </w:tc>
      </w:tr>
      <w:tr w:rsidR="00F95F1B" w14:paraId="33A696FD"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959F919" w14:textId="77777777" w:rsidR="00F95F1B" w:rsidRDefault="00B122E0">
            <w:pPr>
              <w:pStyle w:val="TableBody"/>
              <w:keepLines/>
              <w:spacing w:after="0"/>
              <w:jc w:val="center"/>
            </w:pPr>
            <w:r>
              <w:t>5</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BB61E69" w14:textId="77777777" w:rsidR="00F95F1B" w:rsidRDefault="00B122E0">
            <w:pPr>
              <w:pStyle w:val="TableBody"/>
              <w:keepLines/>
              <w:spacing w:after="0"/>
            </w:pPr>
            <w:r>
              <w:t>Open-weight/local model ecosystem</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4B94C07" w14:textId="77777777" w:rsidR="00F95F1B" w:rsidRDefault="00B122E0">
            <w:pPr>
              <w:pStyle w:val="TableBody"/>
              <w:keepLines/>
              <w:spacing w:after="0"/>
            </w:pPr>
            <w:r>
              <w:t>Open-weight models enable local continuity, but sovereignty requires owned deployment, tuning, and evals.</w:t>
            </w:r>
          </w:p>
        </w:tc>
      </w:tr>
      <w:tr w:rsidR="00F95F1B" w14:paraId="15C18942"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8FB37B6" w14:textId="77777777" w:rsidR="00F95F1B" w:rsidRDefault="00B122E0">
            <w:pPr>
              <w:pStyle w:val="TableBody"/>
              <w:keepLines/>
              <w:spacing w:after="0"/>
              <w:jc w:val="center"/>
            </w:pPr>
            <w:r>
              <w:t>6</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9505C0" w14:textId="77777777" w:rsidR="00F95F1B" w:rsidRDefault="00B122E0">
            <w:pPr>
              <w:pStyle w:val="TableBody"/>
              <w:keepLines/>
              <w:spacing w:after="0"/>
            </w:pPr>
            <w:r>
              <w:t>Agents/autonomous workflows</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80A7F47" w14:textId="77777777" w:rsidR="00F95F1B" w:rsidRDefault="00B122E0">
            <w:pPr>
              <w:pStyle w:val="TableBody"/>
              <w:keepLines/>
              <w:spacing w:after="0"/>
            </w:pPr>
            <w:r>
              <w:t>The more AI acts, the more local governance and sandboxing matter.</w:t>
            </w:r>
          </w:p>
        </w:tc>
      </w:tr>
      <w:tr w:rsidR="00F95F1B" w14:paraId="4C4325D4"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BB60E0" w14:textId="77777777" w:rsidR="00F95F1B" w:rsidRDefault="00B122E0">
            <w:pPr>
              <w:pStyle w:val="TableBody"/>
              <w:keepLines/>
              <w:spacing w:after="0"/>
              <w:jc w:val="center"/>
            </w:pPr>
            <w:r>
              <w:t>7</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B80382E" w14:textId="77777777" w:rsidR="00F95F1B" w:rsidRDefault="00B122E0">
            <w:pPr>
              <w:pStyle w:val="TableBody"/>
              <w:keepLines/>
              <w:spacing w:after="0"/>
            </w:pPr>
            <w:r>
              <w:t>Compute/energy/infrastructure constraints</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0F82F81" w14:textId="77777777" w:rsidR="00F95F1B" w:rsidRDefault="00B122E0">
            <w:pPr>
              <w:pStyle w:val="TableBody"/>
              <w:keepLines/>
              <w:spacing w:after="0"/>
            </w:pPr>
            <w:r>
              <w:t>Cloud AI capacity will face physical scarcity and rationing pressure.</w:t>
            </w:r>
          </w:p>
        </w:tc>
      </w:tr>
      <w:tr w:rsidR="00F95F1B" w14:paraId="2988B2A8" w14:textId="77777777">
        <w:trPr>
          <w:cantSplit/>
          <w:jc w:val="center"/>
        </w:trPr>
        <w:tc>
          <w:tcPr>
            <w:tcW w:w="50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70F182C" w14:textId="77777777" w:rsidR="00F95F1B" w:rsidRDefault="00B122E0">
            <w:pPr>
              <w:pStyle w:val="TableBody"/>
              <w:keepLines/>
              <w:spacing w:after="0"/>
              <w:jc w:val="center"/>
            </w:pPr>
            <w:r>
              <w:t>8</w:t>
            </w:r>
          </w:p>
        </w:tc>
        <w:tc>
          <w:tcPr>
            <w:tcW w:w="32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91F3357" w14:textId="77777777" w:rsidR="00F95F1B" w:rsidRDefault="00B122E0">
            <w:pPr>
              <w:pStyle w:val="TableBody"/>
              <w:keepLines/>
              <w:spacing w:after="0"/>
            </w:pPr>
            <w:r>
              <w:t>Economic/labor/social pressure</w:t>
            </w:r>
          </w:p>
        </w:tc>
        <w:tc>
          <w:tcPr>
            <w:tcW w:w="604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D0164E7" w14:textId="77777777" w:rsidR="00F95F1B" w:rsidRDefault="00B122E0">
            <w:pPr>
              <w:pStyle w:val="TableBody"/>
              <w:keepLines/>
              <w:spacing w:after="0"/>
            </w:pPr>
            <w:r>
              <w:t>Public anxiety and labor disruption will increase regulation and provider controls.</w:t>
            </w:r>
          </w:p>
        </w:tc>
      </w:tr>
    </w:tbl>
    <w:p w14:paraId="7C3AAE78" w14:textId="77777777" w:rsidR="00F95F1B" w:rsidRDefault="00F95F1B">
      <w:pPr>
        <w:keepNext/>
        <w:keepLines/>
        <w:spacing w:after="0" w:line="240" w:lineRule="auto"/>
      </w:pPr>
    </w:p>
    <w:p w14:paraId="724430D2" w14:textId="77777777" w:rsidR="00F95F1B" w:rsidRDefault="00B122E0">
      <w:pPr>
        <w:pStyle w:val="Heading1"/>
      </w:pPr>
      <w:r>
        <w:t>Source and Method Note</w:t>
      </w:r>
    </w:p>
    <w:p w14:paraId="3D11D29D" w14:textId="77777777" w:rsidR="00F95F1B" w:rsidRDefault="00B122E0">
      <w:pPr>
        <w:keepNext/>
        <w:keepLines/>
      </w:pPr>
      <w:r>
        <w:t xml:space="preserve">The project began from a user-supplied Moonshots podcast transcript that framed several themes: the Fable/Mythos access restriction, local/on-prem AI, open-weight fallback models, frontier model control, enterprise AI architecture, compute scarcity, and social pressure around AI. </w:t>
      </w:r>
      <w:r>
        <w:rPr>
          <w:vertAlign w:val="superscript"/>
        </w:rPr>
        <w:t>1</w:t>
      </w:r>
      <w:r>
        <w:t xml:space="preserve"> The transcript is used as a thesis source and topic map. The report then verifies the major factual claims against official provider terms, government documents, standards bodies, and reputable research sources.</w:t>
      </w:r>
    </w:p>
    <w:p w14:paraId="6FC9A148" w14:textId="77777777" w:rsidR="00F95F1B" w:rsidRDefault="00B122E0">
      <w:pPr>
        <w:keepLines/>
      </w:pPr>
      <w:r>
        <w:t>This report is not legal advice, investment advice, or procurement advice. It is a strategic architecture and risk analysis intended to support business planning.</w:t>
      </w:r>
    </w:p>
    <w:p w14:paraId="253D359A" w14:textId="77777777" w:rsidR="00F95F1B" w:rsidRDefault="00B122E0">
      <w:pPr>
        <w:pStyle w:val="Heading1"/>
      </w:pPr>
      <w:r>
        <w:t>Working Thesis</w:t>
      </w:r>
    </w:p>
    <w:p w14:paraId="383E24E5" w14:textId="77777777" w:rsidR="00F95F1B" w:rsidRDefault="00B122E0">
      <w:pPr>
        <w:keepNext/>
        <w:keepLines/>
      </w:pPr>
      <w:r>
        <w:t>Cloud-only AI is a highly likely structural point of failure for medium-to-large businesses once AI becomes mission-critical. The failure may come from external access control, vendor policy, model drift, safety filtering, rate limits, deprecation, account suspension, data-handling rules, government action, jurisdictional fragmentation, infrastructure scarcity, or public/regulatory backlash. Therefore, serious organizations should build locally controlled AI capability: owned models, owned memory, owned rou</w:t>
      </w:r>
      <w:r>
        <w:t>ting, owned policy, owned evaluation, and owned continuity.</w:t>
      </w:r>
    </w:p>
    <w:p w14:paraId="431A37C3" w14:textId="77777777" w:rsidR="00F95F1B" w:rsidRDefault="00B122E0">
      <w:pPr>
        <w:pStyle w:val="Heading1"/>
        <w:pageBreakBefore/>
      </w:pPr>
      <w:r>
        <w:lastRenderedPageBreak/>
        <w:t>1. Control of Intelligence Access</w:t>
      </w:r>
    </w:p>
    <w:p w14:paraId="5FDA141F" w14:textId="77777777" w:rsidR="00F95F1B" w:rsidRDefault="00B122E0">
      <w:pPr>
        <w:keepNext/>
        <w:keepLines/>
      </w:pPr>
      <w:r>
        <w:t>Frontier AI access is not a neutral utility. It is conditional infrastructure. Across OpenAI, Anthropic, Google/Gemini, and xAI/Grok, access is mediated by provider terms, usage policies, safety controls, supported regions, anti-competition restrictions, rate limits, and suspension rights. Government export controls and national-security directives add another layer above the provider.</w:t>
      </w:r>
      <w:r>
        <w:rPr>
          <w:vertAlign w:val="superscript"/>
        </w:rPr>
        <w:t>3,2,5,6</w:t>
      </w:r>
    </w:p>
    <w:p w14:paraId="4C42D2C3" w14:textId="77777777" w:rsidR="00F95F1B" w:rsidRDefault="00B122E0">
      <w:pPr>
        <w:keepLines/>
      </w:pPr>
      <w:r>
        <w:t>The Anthropic Fable/Mythos incident is the cleanest example. Anthropic stated that the U.S. government issued an export-control directive suspending access to Fable 5 and Mythos 5 by any foreign national, including foreign-national employees inside or outside the United States. Anthropic said the net effect was that it had to disable the models for all customers to ensure compliance. The U.S. export controls were lifted on June 30, 2026, and Fable 5 access resumed globally on July 1. Mythos 5 access was res</w:t>
      </w:r>
      <w:r>
        <w:t>tored for vetted U.S. organizations, rather than made generally available. The episode illustrates sudden external control over access, not permanent model unavailability.</w:t>
      </w:r>
      <w:r>
        <w:rPr>
          <w:vertAlign w:val="superscript"/>
        </w:rPr>
        <w:t>2</w:t>
      </w:r>
    </w:p>
    <w:p w14:paraId="3A9C5317" w14:textId="77777777" w:rsidR="00F95F1B" w:rsidRDefault="00B122E0">
      <w:pPr>
        <w:keepLines/>
      </w:pPr>
      <w:r>
        <w:t>This is not unprecedented in principle. The Power Mac G4 was historically restricted because its compute crossed then-relevant supercomputing thresholds. The PlayStation family provides a related precedent: consumer hardware with specialized vector or Cell-style processing became strategically interesting, and Sony later removed the PS3 OtherOS capability for security/platform reasons. The lesson is not that every AI model is a weapon; the lesson is that general-purpose compute becomes governable when capab</w:t>
      </w:r>
      <w:r>
        <w:t>ility crosses strategic thresholds.</w:t>
      </w:r>
      <w:r>
        <w:rPr>
          <w:vertAlign w:val="superscript"/>
        </w:rPr>
        <w:t>9,10</w:t>
      </w:r>
    </w:p>
    <w:p w14:paraId="1A2C6170" w14:textId="77777777" w:rsidR="00F95F1B" w:rsidRDefault="00B122E0">
      <w:pPr>
        <w:pStyle w:val="Heading2"/>
      </w:pPr>
      <w:r>
        <w:t>OpenAI, Google, Anthropic, and xAI control examples</w:t>
      </w:r>
    </w:p>
    <w:tbl>
      <w:tblPr>
        <w:tblW w:w="9792" w:type="dxa"/>
        <w:jc w:val="center"/>
        <w:tblLayout w:type="fixed"/>
        <w:tblCellMar>
          <w:top w:w="100" w:type="dxa"/>
          <w:left w:w="115" w:type="dxa"/>
          <w:bottom w:w="100" w:type="dxa"/>
          <w:right w:w="115" w:type="dxa"/>
        </w:tblCellMar>
        <w:tblLook w:val="04A0" w:firstRow="1" w:lastRow="0" w:firstColumn="1" w:lastColumn="0" w:noHBand="0" w:noVBand="1"/>
      </w:tblPr>
      <w:tblGrid>
        <w:gridCol w:w="1512"/>
        <w:gridCol w:w="3312"/>
        <w:gridCol w:w="2736"/>
        <w:gridCol w:w="2232"/>
      </w:tblGrid>
      <w:tr w:rsidR="00F95F1B" w14:paraId="346B6178" w14:textId="77777777">
        <w:trPr>
          <w:cantSplit/>
          <w:tblHeader/>
          <w:jc w:val="center"/>
        </w:trPr>
        <w:tc>
          <w:tcPr>
            <w:tcW w:w="1512"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33A2D57D" w14:textId="77777777" w:rsidR="00F95F1B" w:rsidRDefault="00B122E0">
            <w:pPr>
              <w:pStyle w:val="TableBody"/>
              <w:keepNext/>
              <w:keepLines/>
              <w:spacing w:after="0"/>
            </w:pPr>
            <w:r>
              <w:rPr>
                <w:b/>
              </w:rPr>
              <w:t>Provider</w:t>
            </w:r>
          </w:p>
        </w:tc>
        <w:tc>
          <w:tcPr>
            <w:tcW w:w="3312"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08E4E10C" w14:textId="77777777" w:rsidR="00F95F1B" w:rsidRDefault="00B122E0">
            <w:pPr>
              <w:pStyle w:val="TableBody"/>
              <w:keepNext/>
              <w:keepLines/>
              <w:spacing w:after="0"/>
            </w:pPr>
            <w:r>
              <w:rPr>
                <w:b/>
              </w:rPr>
              <w:t>Control mechanism</w:t>
            </w:r>
          </w:p>
        </w:tc>
        <w:tc>
          <w:tcPr>
            <w:tcW w:w="2736"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4F9A4B85" w14:textId="77777777" w:rsidR="00F95F1B" w:rsidRDefault="00B122E0">
            <w:pPr>
              <w:pStyle w:val="TableBody"/>
              <w:keepNext/>
              <w:keepLines/>
              <w:spacing w:after="0"/>
            </w:pPr>
            <w:r>
              <w:rPr>
                <w:b/>
              </w:rPr>
              <w:t>Business impact</w:t>
            </w:r>
          </w:p>
        </w:tc>
        <w:tc>
          <w:tcPr>
            <w:tcW w:w="2232"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6D501610" w14:textId="77777777" w:rsidR="00F95F1B" w:rsidRDefault="00B122E0">
            <w:pPr>
              <w:pStyle w:val="TableBody"/>
              <w:keepNext/>
              <w:keepLines/>
              <w:spacing w:after="0"/>
            </w:pPr>
            <w:r>
              <w:rPr>
                <w:b/>
              </w:rPr>
              <w:t>Key source</w:t>
            </w:r>
          </w:p>
        </w:tc>
      </w:tr>
      <w:tr w:rsidR="00F95F1B" w14:paraId="29FE7142" w14:textId="77777777">
        <w:trPr>
          <w:cantSplit/>
          <w:jc w:val="center"/>
        </w:trPr>
        <w:tc>
          <w:tcPr>
            <w:tcW w:w="15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687039A" w14:textId="77777777" w:rsidR="00F95F1B" w:rsidRDefault="00B122E0">
            <w:pPr>
              <w:pStyle w:val="TableBody"/>
              <w:keepLines/>
              <w:spacing w:after="0"/>
            </w:pPr>
            <w:r>
              <w:t>OpenAI</w:t>
            </w:r>
          </w:p>
        </w:tc>
        <w:tc>
          <w:tcPr>
            <w:tcW w:w="33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4A1D79A" w14:textId="77777777" w:rsidR="00F95F1B" w:rsidRDefault="00B122E0">
            <w:pPr>
              <w:pStyle w:val="TableBody"/>
              <w:keepLines/>
              <w:spacing w:after="0"/>
            </w:pPr>
            <w:r>
              <w:t>Non-exclusive access; updates; rate-limit/safety restrictions; suspension for law, policy, or security emergency.</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FD912AC" w14:textId="77777777" w:rsidR="00F95F1B" w:rsidRDefault="00B122E0">
            <w:pPr>
              <w:pStyle w:val="TableBody"/>
              <w:keepLines/>
              <w:spacing w:after="0"/>
            </w:pPr>
            <w:r>
              <w:t>The customer rents conditional access and does not own the model or service behavior.</w:t>
            </w:r>
          </w:p>
        </w:tc>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5AE479F" w14:textId="77777777" w:rsidR="00F95F1B" w:rsidRDefault="00B122E0">
            <w:pPr>
              <w:pStyle w:val="TableBody"/>
              <w:keepLines/>
              <w:spacing w:after="0"/>
            </w:pPr>
            <w:r>
              <w:t>OpenAI Services Agreement</w:t>
            </w:r>
          </w:p>
        </w:tc>
      </w:tr>
      <w:tr w:rsidR="00F95F1B" w14:paraId="7A0ED67B" w14:textId="77777777">
        <w:trPr>
          <w:cantSplit/>
          <w:jc w:val="center"/>
        </w:trPr>
        <w:tc>
          <w:tcPr>
            <w:tcW w:w="15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14BCA4B" w14:textId="77777777" w:rsidR="00F95F1B" w:rsidRDefault="00B122E0">
            <w:pPr>
              <w:pStyle w:val="TableBody"/>
              <w:keepLines/>
              <w:spacing w:after="0"/>
            </w:pPr>
            <w:r>
              <w:t>Anthropic</w:t>
            </w:r>
          </w:p>
        </w:tc>
        <w:tc>
          <w:tcPr>
            <w:tcW w:w="33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39C6680" w14:textId="77777777" w:rsidR="00F95F1B" w:rsidRDefault="00B122E0">
            <w:pPr>
              <w:pStyle w:val="TableBody"/>
              <w:keepLines/>
              <w:spacing w:after="0"/>
            </w:pPr>
            <w:r>
              <w:t>Commercial terms allow suspension for legal prohibition, service risk, policy issues, material cost increase, or vendor dependency failure; Fable/Mythos directive shows government override.</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21532BC" w14:textId="77777777" w:rsidR="00F95F1B" w:rsidRDefault="00B122E0">
            <w:pPr>
              <w:pStyle w:val="TableBody"/>
              <w:keepLines/>
              <w:spacing w:after="0"/>
            </w:pPr>
            <w:r>
              <w:t>A model can be removed even when the customer did nothing wrong.</w:t>
            </w:r>
          </w:p>
        </w:tc>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248486A" w14:textId="77777777" w:rsidR="00F95F1B" w:rsidRDefault="00B122E0">
            <w:pPr>
              <w:pStyle w:val="TableBody"/>
              <w:keepLines/>
              <w:spacing w:after="0"/>
            </w:pPr>
            <w:r>
              <w:t>Anthropic commercial terms; Anthropic Fable/Mythos statement</w:t>
            </w:r>
          </w:p>
        </w:tc>
      </w:tr>
      <w:tr w:rsidR="00F95F1B" w14:paraId="4BBAADE9" w14:textId="77777777">
        <w:trPr>
          <w:cantSplit/>
          <w:jc w:val="center"/>
        </w:trPr>
        <w:tc>
          <w:tcPr>
            <w:tcW w:w="15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64733EE" w14:textId="77777777" w:rsidR="00F95F1B" w:rsidRDefault="00B122E0">
            <w:pPr>
              <w:pStyle w:val="TableBody"/>
              <w:keepLines/>
              <w:spacing w:after="0"/>
            </w:pPr>
            <w:r>
              <w:t>Google/Gemini</w:t>
            </w:r>
          </w:p>
        </w:tc>
        <w:tc>
          <w:tcPr>
            <w:tcW w:w="33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4A0060F" w14:textId="77777777" w:rsidR="00F95F1B" w:rsidRDefault="00B122E0">
            <w:pPr>
              <w:pStyle w:val="TableBody"/>
              <w:keepLines/>
              <w:spacing w:after="0"/>
            </w:pPr>
            <w:r>
              <w:t>Available-region restrictions; safety features; less-restrictive safety settings subject to review; prohibition on competing-model development and model extraction.</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A1523B2" w14:textId="77777777" w:rsidR="00F95F1B" w:rsidRDefault="00B122E0">
            <w:pPr>
              <w:pStyle w:val="TableBody"/>
              <w:keepLines/>
              <w:spacing w:after="0"/>
            </w:pPr>
            <w:r>
              <w:t>Google controls geography, use class, safety posture, and permissible derivative activity.</w:t>
            </w:r>
          </w:p>
        </w:tc>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0750FB" w14:textId="77777777" w:rsidR="00F95F1B" w:rsidRDefault="00B122E0">
            <w:pPr>
              <w:pStyle w:val="TableBody"/>
              <w:keepLines/>
              <w:spacing w:after="0"/>
            </w:pPr>
            <w:r>
              <w:t>Gemini API Additional Terms</w:t>
            </w:r>
          </w:p>
        </w:tc>
      </w:tr>
      <w:tr w:rsidR="00F95F1B" w14:paraId="14DD909D" w14:textId="77777777">
        <w:trPr>
          <w:cantSplit/>
          <w:jc w:val="center"/>
        </w:trPr>
        <w:tc>
          <w:tcPr>
            <w:tcW w:w="15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3AE9FE1" w14:textId="77777777" w:rsidR="00F95F1B" w:rsidRDefault="00B122E0">
            <w:pPr>
              <w:pStyle w:val="TableBody"/>
              <w:keepLines/>
              <w:spacing w:after="0"/>
            </w:pPr>
            <w:r>
              <w:t>xAI/Grok</w:t>
            </w:r>
          </w:p>
        </w:tc>
        <w:tc>
          <w:tcPr>
            <w:tcW w:w="331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D386B94" w14:textId="77777777" w:rsidR="00F95F1B" w:rsidRDefault="00B122E0">
            <w:pPr>
              <w:pStyle w:val="TableBody"/>
              <w:keepLines/>
              <w:spacing w:after="0"/>
            </w:pPr>
            <w:r>
              <w:t>Rate limits, suspension, termination, discontinuation, monitoring, and as-is/no-uninterrupted-service disclaimers.</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883FBBC" w14:textId="77777777" w:rsidR="00F95F1B" w:rsidRDefault="00B122E0">
            <w:pPr>
              <w:pStyle w:val="TableBody"/>
              <w:keepLines/>
              <w:spacing w:after="0"/>
            </w:pPr>
            <w:r>
              <w:t>Grok/API access is also a conditional cloud service, not owned operational substrate.</w:t>
            </w:r>
          </w:p>
        </w:tc>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A5D3595" w14:textId="77777777" w:rsidR="00F95F1B" w:rsidRDefault="00B122E0">
            <w:pPr>
              <w:pStyle w:val="TableBody"/>
              <w:keepLines/>
              <w:spacing w:after="0"/>
            </w:pPr>
            <w:r>
              <w:t>xAI consumer and enterprise terms</w:t>
            </w:r>
          </w:p>
        </w:tc>
      </w:tr>
    </w:tbl>
    <w:p w14:paraId="130197B4" w14:textId="77777777" w:rsidR="00F95F1B" w:rsidRDefault="00F95F1B">
      <w:pPr>
        <w:keepNext/>
        <w:keepLines/>
        <w:spacing w:after="0" w:line="240" w:lineRule="auto"/>
      </w:pPr>
    </w:p>
    <w:p w14:paraId="3F257E80" w14:textId="77777777" w:rsidR="00F95F1B" w:rsidRDefault="00B122E0">
      <w:pPr>
        <w:keepLines/>
      </w:pPr>
      <w:r>
        <w:t>For open-weight models, restriction is harder but not impossible. Before publication, model weights, source code, training infrastructure, employee access, and export routes can be controlled. After publication, widely mirrored permissive weights are difficult to revoke, but governments and platforms can still affect hosting, distribution, compute access, sanctioned users, cloud inference, enterprise certification, and procurement. The legal framework is clearest for export of controlled technology and mode</w:t>
      </w:r>
      <w:r>
        <w:t>l weights before broad public release; it is less clear for already-published permissive weights, which is why downloading, validating, tuning, and deploying local models matters.</w:t>
      </w:r>
      <w:r>
        <w:rPr>
          <w:vertAlign w:val="superscript"/>
        </w:rPr>
        <w:t>7,8,23</w:t>
      </w:r>
    </w:p>
    <w:p w14:paraId="1C72D17D" w14:textId="77777777" w:rsidR="00F95F1B" w:rsidRDefault="00B122E0">
      <w:pPr>
        <w:pStyle w:val="Heading2"/>
      </w:pPr>
      <w:r>
        <w:t>Point 1 conclusion</w:t>
      </w:r>
    </w:p>
    <w:p w14:paraId="7BDB6BD8" w14:textId="77777777" w:rsidR="00F95F1B" w:rsidRDefault="00B122E0">
      <w:pPr>
        <w:keepLines/>
      </w:pPr>
      <w:r>
        <w:t>A business that depends entirely on cloud frontier AI does not control its own intelligence supply chain. It depends on a layered external control stack: provider terms, policy enforcement, safety filters, rate limits, geographic availability, export law, sanctions, and national-security authorities.</w:t>
      </w:r>
    </w:p>
    <w:p w14:paraId="2BC52998" w14:textId="77777777" w:rsidR="00F95F1B" w:rsidRDefault="00B122E0">
      <w:pPr>
        <w:pStyle w:val="Heading1"/>
      </w:pPr>
      <w:r>
        <w:t>2. Cloud AI as a Highly Likely Structural Point of Failure</w:t>
      </w:r>
    </w:p>
    <w:p w14:paraId="45D963E4" w14:textId="77777777" w:rsidR="00F95F1B" w:rsidRDefault="00B122E0">
      <w:pPr>
        <w:keepNext/>
        <w:keepLines/>
      </w:pPr>
      <w:r>
        <w:t>The important risk is not merely downtime. A cloud AI workflow can fail while the provider remains technically online. It can fail because the endpoint changes, the model is updated, the safety layer shifts, the account is flagged, the region is restricted, a use case is newly prohibited, a provider rate-limits capacity, a model is deprecated, a government intervenes, or data-handling rules become incompatible with the mission.</w:t>
      </w:r>
      <w:r>
        <w:rPr>
          <w:vertAlign w:val="superscript"/>
        </w:rPr>
        <w:t>3,4,5,6</w:t>
      </w:r>
    </w:p>
    <w:p w14:paraId="3FD9FA18" w14:textId="77777777" w:rsidR="00F95F1B" w:rsidRDefault="00B122E0">
      <w:pPr>
        <w:keepLines/>
      </w:pPr>
      <w:r>
        <w:t>The terms of major providers support this stronger conclusion. OpenAI may update services, suspend access for legal, policy, or security reasons, and disclaims many operational guarantees. Anthropic may suspend service for legal, cost, risk, policy, and third-party vendor reasons. Google reserves region, safety, data-logging, pricing, and API controls. xAI reserves rate-limiting, suspension, termination, discontinuation, and as-is service terms.</w:t>
      </w:r>
      <w:r>
        <w:rPr>
          <w:vertAlign w:val="superscript"/>
        </w:rPr>
        <w:t>3,4,5,6</w:t>
      </w:r>
    </w:p>
    <w:p w14:paraId="285C4383" w14:textId="77777777" w:rsidR="00F95F1B" w:rsidRDefault="00B122E0">
      <w:pPr>
        <w:keepLines/>
      </w:pPr>
      <w:r>
        <w:t>Data handling is another failure mode. Enterprise cloud AI can include provider-side classifiers, abuse monitoring, limited retention windows, legal-retention exceptions, administrator visibility, and human review pathways depending on product and configuration. For regulated or sensitive workflows, this is not just a privacy issue; it is an operational architecture issue.</w:t>
      </w:r>
      <w:r>
        <w:rPr>
          <w:vertAlign w:val="superscript"/>
        </w:rPr>
        <w:t>11,12</w:t>
      </w:r>
    </w:p>
    <w:p w14:paraId="7696B56E" w14:textId="77777777" w:rsidR="00F95F1B" w:rsidRDefault="00B122E0">
      <w:pPr>
        <w:keepLines/>
      </w:pPr>
      <w:r>
        <w:t>Therefore the correct phrasing is strong: cloud-only AI is a highly likely structural point of failure for medium-to-large businesses once AI becomes mission-critical. The failure may not happen every day. But the business must assume it will happen at the worst possible time, because every major provider reserves mechanisms that can disrupt or reshape access. This is an architectural risk judgment, not a measured failure probability. Provider status incidents demonstrate operational reliability risk; contr</w:t>
      </w:r>
      <w:r>
        <w:t>actual and policy mechanisms provide the separate basis for the structural-dependency argument.</w:t>
      </w:r>
      <w:r>
        <w:rPr>
          <w:vertAlign w:val="superscript"/>
        </w:rPr>
        <w:t>13</w:t>
      </w:r>
    </w:p>
    <w:p w14:paraId="0EBB29AF" w14:textId="77777777" w:rsidR="00F95F1B" w:rsidRDefault="00B122E0">
      <w:pPr>
        <w:pStyle w:val="Heading2"/>
      </w:pPr>
      <w:r>
        <w:t>Point 2 conclusion</w:t>
      </w:r>
    </w:p>
    <w:p w14:paraId="3D3AE7A1" w14:textId="77777777" w:rsidR="00F95F1B" w:rsidRDefault="00B122E0">
      <w:pPr>
        <w:keepLines/>
      </w:pPr>
      <w:r>
        <w:t>Cloud AI may be powerful, but cloud-only AI is not mission-safe as the sole substrate. Any business that cannot continue essential AI-dependent operations without a cloud AI provider has accepted a potentially critical external dependency.</w:t>
      </w:r>
    </w:p>
    <w:p w14:paraId="17D4E927" w14:textId="77777777" w:rsidR="00F95F1B" w:rsidRDefault="00B122E0">
      <w:pPr>
        <w:pStyle w:val="Heading1"/>
      </w:pPr>
      <w:r>
        <w:lastRenderedPageBreak/>
        <w:t>3. Enterprise Architecture Shift: Own the AI Control Plane</w:t>
      </w:r>
    </w:p>
    <w:p w14:paraId="5E013297" w14:textId="77777777" w:rsidR="00F95F1B" w:rsidRDefault="00B122E0">
      <w:pPr>
        <w:keepNext/>
        <w:keepLines/>
      </w:pPr>
      <w:r>
        <w:t>If Points 1 and 2 are true, the architecture answer is clear: the enterprise must own the AI control plane. This means the business owns the data layer, memory layer, routing layer, policy layer, evaluation layer, logs, tool permissions, and fallback execution. Cloud models become optional accelerators, not the foundation of business continuity.</w:t>
      </w:r>
      <w:r>
        <w:rPr>
          <w:vertAlign w:val="superscript"/>
        </w:rPr>
        <w:t>14,15</w:t>
      </w:r>
    </w:p>
    <w:p w14:paraId="6EFEB840" w14:textId="77777777" w:rsidR="00F95F1B" w:rsidRDefault="00B122E0">
      <w:pPr>
        <w:pStyle w:val="Heading2"/>
      </w:pPr>
      <w:r>
        <w:t>Target architecture</w:t>
      </w:r>
    </w:p>
    <w:tbl>
      <w:tblPr>
        <w:tblW w:w="9792" w:type="dxa"/>
        <w:jc w:val="center"/>
        <w:tblLayout w:type="fixed"/>
        <w:tblCellMar>
          <w:top w:w="100" w:type="dxa"/>
          <w:left w:w="115" w:type="dxa"/>
          <w:bottom w:w="100" w:type="dxa"/>
          <w:right w:w="115" w:type="dxa"/>
        </w:tblCellMar>
        <w:tblLook w:val="04A0" w:firstRow="1" w:lastRow="0" w:firstColumn="1" w:lastColumn="0" w:noHBand="0" w:noVBand="1"/>
      </w:tblPr>
      <w:tblGrid>
        <w:gridCol w:w="2232"/>
        <w:gridCol w:w="3384"/>
        <w:gridCol w:w="4176"/>
      </w:tblGrid>
      <w:tr w:rsidR="00F95F1B" w14:paraId="01FE5F39" w14:textId="77777777">
        <w:trPr>
          <w:cantSplit/>
          <w:tblHeade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3CEF5095" w14:textId="77777777" w:rsidR="00F95F1B" w:rsidRDefault="00B122E0">
            <w:pPr>
              <w:pStyle w:val="TableBody"/>
              <w:keepNext/>
              <w:keepLines/>
              <w:spacing w:after="0"/>
            </w:pPr>
            <w:r>
              <w:rPr>
                <w:b/>
              </w:rPr>
              <w:t>Layer</w:t>
            </w:r>
          </w:p>
        </w:tc>
        <w:tc>
          <w:tcPr>
            <w:tcW w:w="3384"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43F33C2B" w14:textId="77777777" w:rsidR="00F95F1B" w:rsidRDefault="00B122E0">
            <w:pPr>
              <w:pStyle w:val="TableBody"/>
              <w:keepNext/>
              <w:keepLines/>
              <w:spacing w:after="0"/>
            </w:pPr>
            <w:r>
              <w:rPr>
                <w:b/>
              </w:rPr>
              <w:t>Purpose</w:t>
            </w:r>
          </w:p>
        </w:tc>
        <w:tc>
          <w:tcPr>
            <w:tcW w:w="4176" w:type="dxa"/>
            <w:tcBorders>
              <w:top w:val="single" w:sz="4" w:space="0" w:color="D9D9D9"/>
              <w:left w:val="single" w:sz="4" w:space="0" w:color="D9D9D9"/>
              <w:bottom w:val="single" w:sz="4" w:space="0" w:color="D9D9D9"/>
              <w:right w:val="single" w:sz="4" w:space="0" w:color="D9D9D9"/>
            </w:tcBorders>
            <w:shd w:val="clear" w:color="auto" w:fill="E9EDF1"/>
            <w:vAlign w:val="center"/>
          </w:tcPr>
          <w:p w14:paraId="655827DE" w14:textId="77777777" w:rsidR="00F95F1B" w:rsidRDefault="00B122E0">
            <w:pPr>
              <w:pStyle w:val="TableBody"/>
              <w:keepNext/>
              <w:keepLines/>
              <w:spacing w:after="0"/>
            </w:pPr>
            <w:r>
              <w:rPr>
                <w:b/>
              </w:rPr>
              <w:t>Local-AI control requirement</w:t>
            </w:r>
          </w:p>
        </w:tc>
      </w:tr>
      <w:tr w:rsidR="00F95F1B" w14:paraId="3C460A0E"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697AC95" w14:textId="77777777" w:rsidR="00F95F1B" w:rsidRDefault="00B122E0">
            <w:pPr>
              <w:pStyle w:val="TableBody"/>
              <w:keepLines/>
              <w:spacing w:after="0"/>
            </w:pPr>
            <w:r>
              <w:t>Owned data and memory</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3C47D50" w14:textId="77777777" w:rsidR="00F95F1B" w:rsidRDefault="00B122E0">
            <w:pPr>
              <w:pStyle w:val="TableBody"/>
              <w:keepLines/>
              <w:spacing w:after="0"/>
            </w:pPr>
            <w:r>
              <w:t>Keep enterprise knowledge separate from any single model provider.</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40844D9" w14:textId="77777777" w:rsidR="00F95F1B" w:rsidRDefault="00B122E0">
            <w:pPr>
              <w:pStyle w:val="TableBody"/>
              <w:keepLines/>
              <w:spacing w:after="0"/>
            </w:pPr>
            <w:r>
              <w:t>Documents, embeddings, vector stores, workflow state, and institutional memory remain under company control.</w:t>
            </w:r>
          </w:p>
        </w:tc>
      </w:tr>
      <w:tr w:rsidR="00F95F1B" w14:paraId="584C01AF"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5FC9107" w14:textId="77777777" w:rsidR="00F95F1B" w:rsidRDefault="00B122E0">
            <w:pPr>
              <w:pStyle w:val="TableBody"/>
              <w:keepLines/>
              <w:spacing w:after="0"/>
            </w:pPr>
            <w:r>
              <w:t>Model gateway/router</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554A07F" w14:textId="77777777" w:rsidR="00F95F1B" w:rsidRDefault="00B122E0">
            <w:pPr>
              <w:pStyle w:val="TableBody"/>
              <w:keepLines/>
              <w:spacing w:after="0"/>
            </w:pPr>
            <w:r>
              <w:t>Route tasks across local models, cloud models, specialized models, and fallback models.</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A9DF1A4" w14:textId="77777777" w:rsidR="00F95F1B" w:rsidRDefault="00B122E0">
            <w:pPr>
              <w:pStyle w:val="TableBody"/>
              <w:keepLines/>
              <w:spacing w:after="0"/>
            </w:pPr>
            <w:r>
              <w:t>No mission-critical workflow hardwires one provider.</w:t>
            </w:r>
          </w:p>
        </w:tc>
      </w:tr>
      <w:tr w:rsidR="00F95F1B" w14:paraId="55F427A9"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6E97FFF" w14:textId="77777777" w:rsidR="00F95F1B" w:rsidRDefault="00B122E0">
            <w:pPr>
              <w:pStyle w:val="TableBody"/>
              <w:keepLines/>
              <w:spacing w:after="0"/>
            </w:pPr>
            <w:r>
              <w:t>Local inference tier</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6E04947" w14:textId="77777777" w:rsidR="00F95F1B" w:rsidRDefault="00B122E0">
            <w:pPr>
              <w:pStyle w:val="TableBody"/>
              <w:keepLines/>
              <w:spacing w:after="0"/>
            </w:pPr>
            <w:r>
              <w:t>Run core workflows at survivable quality even when cloud access fails.</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5681B83" w14:textId="77777777" w:rsidR="00F95F1B" w:rsidRDefault="00B122E0">
            <w:pPr>
              <w:pStyle w:val="TableBody"/>
              <w:keepLines/>
              <w:spacing w:after="0"/>
            </w:pPr>
            <w:r>
              <w:t>The business maintains local models, local deployment, and local evals.</w:t>
            </w:r>
          </w:p>
        </w:tc>
      </w:tr>
      <w:tr w:rsidR="00F95F1B" w14:paraId="67F0F949"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2A26BA5" w14:textId="77777777" w:rsidR="00F95F1B" w:rsidRDefault="00B122E0">
            <w:pPr>
              <w:pStyle w:val="TableBody"/>
              <w:keepLines/>
              <w:spacing w:after="0"/>
            </w:pPr>
            <w:r>
              <w:t>Cloud burst tier</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C0845F8" w14:textId="77777777" w:rsidR="00F95F1B" w:rsidRDefault="00B122E0">
            <w:pPr>
              <w:pStyle w:val="TableBody"/>
              <w:keepLines/>
              <w:spacing w:after="0"/>
            </w:pPr>
            <w:r>
              <w:t>Use frontier models for hard reasoning, research, coding, comparison, and optional acceleration.</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47141AA" w14:textId="77777777" w:rsidR="00F95F1B" w:rsidRDefault="00B122E0">
            <w:pPr>
              <w:pStyle w:val="TableBody"/>
              <w:keepLines/>
              <w:spacing w:after="0"/>
            </w:pPr>
            <w:r>
              <w:t>Cloud is advantage, not survival.</w:t>
            </w:r>
          </w:p>
        </w:tc>
      </w:tr>
      <w:tr w:rsidR="00F95F1B" w14:paraId="2557E16A"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2986041" w14:textId="77777777" w:rsidR="00F95F1B" w:rsidRDefault="00B122E0">
            <w:pPr>
              <w:pStyle w:val="TableBody"/>
              <w:keepLines/>
              <w:spacing w:after="0"/>
            </w:pPr>
            <w:r>
              <w:t>Enterprise policy engine</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AB16552" w14:textId="77777777" w:rsidR="00F95F1B" w:rsidRDefault="00B122E0">
            <w:pPr>
              <w:pStyle w:val="TableBody"/>
              <w:keepLines/>
              <w:spacing w:after="0"/>
            </w:pPr>
            <w:r>
              <w:t>Control what data leaves, which models can be used, and what actions require approval.</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288CE1D" w14:textId="77777777" w:rsidR="00F95F1B" w:rsidRDefault="00B122E0">
            <w:pPr>
              <w:pStyle w:val="TableBody"/>
              <w:keepLines/>
              <w:spacing w:after="0"/>
            </w:pPr>
            <w:r>
              <w:t>Provider policy does not become the sole business policy.</w:t>
            </w:r>
          </w:p>
        </w:tc>
      </w:tr>
      <w:tr w:rsidR="00F95F1B" w14:paraId="4DDC4D32"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76F5FCC" w14:textId="77777777" w:rsidR="00F95F1B" w:rsidRDefault="00B122E0">
            <w:pPr>
              <w:pStyle w:val="TableBody"/>
              <w:keepLines/>
              <w:spacing w:after="0"/>
            </w:pPr>
            <w:r>
              <w:t>Agent sandbox and tool layer</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6BAE91B" w14:textId="77777777" w:rsidR="00F95F1B" w:rsidRDefault="00B122E0">
            <w:pPr>
              <w:pStyle w:val="TableBody"/>
              <w:keepLines/>
              <w:spacing w:after="0"/>
            </w:pPr>
            <w:r>
              <w:t>Constrain agent actions through scoped credentials, tool allowlists, approvals, and rollback.</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B8D7C0A" w14:textId="77777777" w:rsidR="00F95F1B" w:rsidRDefault="00B122E0">
            <w:pPr>
              <w:pStyle w:val="TableBody"/>
              <w:keepLines/>
              <w:spacing w:after="0"/>
            </w:pPr>
            <w:r>
              <w:t>Models can propose actions; enterprise systems authorize execution.</w:t>
            </w:r>
          </w:p>
        </w:tc>
      </w:tr>
      <w:tr w:rsidR="00F95F1B" w14:paraId="3E2641EE"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78A4E89" w14:textId="77777777" w:rsidR="00F95F1B" w:rsidRDefault="00B122E0">
            <w:pPr>
              <w:pStyle w:val="TableBody"/>
              <w:keepLines/>
              <w:spacing w:after="0"/>
            </w:pPr>
            <w:r>
              <w:t>Evaluation and monitoring</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FF3894E" w14:textId="77777777" w:rsidR="00F95F1B" w:rsidRDefault="00B122E0">
            <w:pPr>
              <w:pStyle w:val="TableBody"/>
              <w:keepLines/>
              <w:spacing w:after="0"/>
            </w:pPr>
            <w:r>
              <w:t>Measure drift, refusal rate, latency, cost, task success, and tool accuracy.</w:t>
            </w:r>
          </w:p>
        </w:tc>
        <w:tc>
          <w:tcPr>
            <w:tcW w:w="41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CE73D45" w14:textId="77777777" w:rsidR="00F95F1B" w:rsidRDefault="00B122E0">
            <w:pPr>
              <w:pStyle w:val="TableBody"/>
              <w:keepLines/>
              <w:spacing w:after="0"/>
            </w:pPr>
            <w:r>
              <w:t>Model changes are detected before they break production.</w:t>
            </w:r>
          </w:p>
        </w:tc>
      </w:tr>
    </w:tbl>
    <w:p w14:paraId="5CBC1456" w14:textId="77777777" w:rsidR="00F95F1B" w:rsidRDefault="00F95F1B">
      <w:pPr>
        <w:keepNext/>
        <w:keepLines/>
        <w:spacing w:after="0" w:line="240" w:lineRule="auto"/>
      </w:pPr>
    </w:p>
    <w:p w14:paraId="36650F05" w14:textId="77777777" w:rsidR="00F95F1B" w:rsidRDefault="00B122E0">
      <w:pPr>
        <w:keepLines/>
      </w:pPr>
      <w:r>
        <w:t>A retrieval-augmented generation architecture illustrates the principle. Enterprise knowledge should be ingested, embedded, indexed, retrieved, and supplied to whichever model is appropriate. The knowledge layer should be separable from the model layer, so the business can replace models without losing memory or control.</w:t>
      </w:r>
      <w:r>
        <w:rPr>
          <w:vertAlign w:val="superscript"/>
        </w:rPr>
        <w:t>16</w:t>
      </w:r>
    </w:p>
    <w:p w14:paraId="5DFDFC3F" w14:textId="77777777" w:rsidR="00F95F1B" w:rsidRDefault="00B122E0">
      <w:pPr>
        <w:keepLines/>
      </w:pPr>
      <w:r>
        <w:t>Even cloud vendors recognize this direction. Microsoft’s private-network guidance for Azure OpenAI/Foundry describes private endpoints and virtual networks, showing that enterprise AI is moving toward segmented, controlled, audited deployment rather than casual direct calls from every application.</w:t>
      </w:r>
      <w:r>
        <w:rPr>
          <w:vertAlign w:val="superscript"/>
        </w:rPr>
        <w:t>17</w:t>
      </w:r>
    </w:p>
    <w:p w14:paraId="73C2D706" w14:textId="77777777" w:rsidR="00F95F1B" w:rsidRDefault="00B122E0">
      <w:pPr>
        <w:pStyle w:val="Heading2"/>
      </w:pPr>
      <w:r>
        <w:t>Point 3 conclusion</w:t>
      </w:r>
    </w:p>
    <w:p w14:paraId="14BFEEBA" w14:textId="77777777" w:rsidR="00F95F1B" w:rsidRDefault="00B122E0">
      <w:pPr>
        <w:keepLines/>
      </w:pPr>
      <w:r>
        <w:t>The enterprise AI stack must be redesigned around control, not convenience. The goal is not just better prompts. The goal is continuity of cognition.</w:t>
      </w:r>
    </w:p>
    <w:p w14:paraId="22361EA1" w14:textId="77777777" w:rsidR="00F95F1B" w:rsidRDefault="00B122E0">
      <w:pPr>
        <w:pStyle w:val="Heading1"/>
      </w:pPr>
      <w:r>
        <w:t>4. Sovereign and Geopolitical AI Fragmentation</w:t>
      </w:r>
    </w:p>
    <w:p w14:paraId="1141BDCA" w14:textId="77777777" w:rsidR="00F95F1B" w:rsidRDefault="00B122E0">
      <w:pPr>
        <w:keepNext/>
        <w:keepLines/>
      </w:pPr>
      <w:r>
        <w:t>AI access is fragmenting along geopolitical lines. The United States, the European Union, China, and other jurisdictions are building different AI control regimes around national security, values, export control, infrastructure sovereignty, data rules, and regulatory compliance.</w:t>
      </w:r>
      <w:r>
        <w:rPr>
          <w:vertAlign w:val="superscript"/>
        </w:rPr>
        <w:t>18,19,21</w:t>
      </w:r>
    </w:p>
    <w:p w14:paraId="221AA3CF" w14:textId="77777777" w:rsidR="00F95F1B" w:rsidRDefault="00B122E0">
      <w:pPr>
        <w:keepLines/>
      </w:pPr>
      <w:r>
        <w:t>U.S. policy increasingly treats AI as strategic national infrastructure. Winning the AI Race: America’s AI Action Plan frames AI as a race for global dominance, calls for the American AI stack to become the global standard, and emphasizes export-control enforcement and national-security evaluation of frontier models. The BIS AI Diffusion rule demonstrates how model weights and compute can be pulled into export-control frameworks. Commerce announced non-enforcement in May 2025 and initiated planned rescissio</w:t>
      </w:r>
      <w:r>
        <w:t>n and replacement. GAO clarified in May 2026 that rescission was not yet final and that the framework remained in the Code of Federal Regulations pending rulemaking; the issued framework should not be presented as an unchanged, actively enforced control stack.</w:t>
      </w:r>
      <w:r>
        <w:rPr>
          <w:vertAlign w:val="superscript"/>
        </w:rPr>
        <w:t>18,7</w:t>
      </w:r>
    </w:p>
    <w:p w14:paraId="730B033A" w14:textId="77777777" w:rsidR="00F95F1B" w:rsidRDefault="00B122E0">
      <w:pPr>
        <w:keepLines/>
      </w:pPr>
      <w:r>
        <w:t>Europe is pursuing both regulation and infrastructure. The EU AI Act creates a risk-based compliance framework for AI systems and general-purpose AI models. The AI Factories initiative shows that Europe is not merely regulating U.S. providers; it is building regional compute and sovereign AI capacity.</w:t>
      </w:r>
      <w:r>
        <w:rPr>
          <w:vertAlign w:val="superscript"/>
        </w:rPr>
        <w:t>19,20</w:t>
      </w:r>
    </w:p>
    <w:p w14:paraId="0887CFC5" w14:textId="77777777" w:rsidR="00F95F1B" w:rsidRDefault="00B122E0">
      <w:pPr>
        <w:keepLines/>
      </w:pPr>
      <w:r>
        <w:t>China has a separate governance model. Its generative AI rules apply to public-facing generative AI services in China and include obligations around national security, public order, socialist core values, data quality, algorithm filing, and technical measures for noncompliant services accessible from outside China.</w:t>
      </w:r>
      <w:r>
        <w:rPr>
          <w:vertAlign w:val="superscript"/>
        </w:rPr>
        <w:t>21</w:t>
      </w:r>
    </w:p>
    <w:p w14:paraId="5D3A6A3E" w14:textId="77777777" w:rsidR="00F95F1B" w:rsidRDefault="00B122E0">
      <w:pPr>
        <w:pStyle w:val="Heading2"/>
      </w:pPr>
      <w:r>
        <w:t>Point 4 conclusion</w:t>
      </w:r>
    </w:p>
    <w:p w14:paraId="250AB6C6" w14:textId="77777777" w:rsidR="00F95F1B" w:rsidRDefault="00B122E0">
      <w:pPr>
        <w:keepLines/>
      </w:pPr>
      <w:r>
        <w:t>For global businesses, there is no single stable AI jurisdiction. The same workflow may be legal, available, performant, and acceptable in one jurisdiction but restricted, logged, altered, or noncompliant in another. Local AI becomes a continuity strategy for operating across fragmented regimes.</w:t>
      </w:r>
    </w:p>
    <w:p w14:paraId="27129323" w14:textId="77777777" w:rsidR="00F95F1B" w:rsidRDefault="00B122E0">
      <w:pPr>
        <w:pStyle w:val="Heading1"/>
      </w:pPr>
      <w:r>
        <w:t>5. Open-Weight and Locally Deployable Model Ecosystem</w:t>
      </w:r>
    </w:p>
    <w:p w14:paraId="0EA36AF4" w14:textId="77777777" w:rsidR="00F95F1B" w:rsidRDefault="00B122E0">
      <w:pPr>
        <w:keepNext/>
        <w:keepLines/>
      </w:pPr>
      <w:r>
        <w:t>Open-weight and locally deployable models are the escape hatch from cloud-only dependency. They may lag frontier cloud systems, but they provide continuity, auditability, customization, and control. For many enterprise workflows, a strong local model paired with company data and workflow tools can be more valuable than a stronger frontier model that may disappear or refuse the task.</w:t>
      </w:r>
      <w:r>
        <w:rPr>
          <w:vertAlign w:val="superscript"/>
        </w:rPr>
        <w:t>22,28</w:t>
      </w:r>
    </w:p>
    <w:p w14:paraId="2E4ABFD3" w14:textId="77777777" w:rsidR="00F95F1B" w:rsidRDefault="00B122E0">
      <w:pPr>
        <w:keepLines/>
      </w:pPr>
      <w:r>
        <w:t>The business objective is not to beat the frontier. The objective is to maintain a sovereign intelligence baseline: models that the organization has downloaded, validated, tuned, versioned, evaluated, and deployed under its own operational control. Six months behind frontier can still be powerful enough to sustain code review, internal search, summarization, document processing, customer-support triage, compliance lookup, and domain-specific reasoning.</w:t>
      </w:r>
    </w:p>
    <w:p w14:paraId="04ADC970" w14:textId="77777777" w:rsidR="00F95F1B" w:rsidRDefault="00B122E0">
      <w:pPr>
        <w:keepLines/>
      </w:pPr>
      <w:r>
        <w:t>However, open-weight is not automatically sovereign. Hosted open-weight models still depend on platform access. Gated releases can require identity, organization, country, and affiliation. Permissive weights become strategically meaningful only after the business actually possesses and can run them locally.</w:t>
      </w:r>
      <w:r>
        <w:rPr>
          <w:vertAlign w:val="superscript"/>
        </w:rPr>
        <w:t>23,24</w:t>
      </w:r>
    </w:p>
    <w:p w14:paraId="1A15819E" w14:textId="77777777" w:rsidR="00F95F1B" w:rsidRDefault="00B122E0">
      <w:pPr>
        <w:pStyle w:val="Heading2"/>
      </w:pPr>
      <w:r>
        <w:t>Point 5 conclusion</w:t>
      </w:r>
    </w:p>
    <w:p w14:paraId="461A3927" w14:textId="77777777" w:rsidR="00F95F1B" w:rsidRDefault="00B122E0">
      <w:pPr>
        <w:keepLines/>
      </w:pPr>
      <w:r>
        <w:t>The future-proof enterprise does not merely use open models. It builds an internal model supply chain: multiple base models, internal tuning, owned evaluation harnesses, versioned deployment, and review on a defined cadence and upon material model, security, licensing, hardware, or regulatory changes, with replacement only after task-specific evaluation.</w:t>
      </w:r>
    </w:p>
    <w:p w14:paraId="770F7431" w14:textId="77777777" w:rsidR="00F95F1B" w:rsidRDefault="00B122E0">
      <w:pPr>
        <w:pStyle w:val="Heading1"/>
      </w:pPr>
      <w:r>
        <w:t>6. Agents, Recursive Self-Improvement, and Autonomous Workflows</w:t>
      </w:r>
    </w:p>
    <w:p w14:paraId="26E972A4" w14:textId="77777777" w:rsidR="00F95F1B" w:rsidRDefault="00B122E0">
      <w:pPr>
        <w:keepNext/>
        <w:keepLines/>
      </w:pPr>
      <w:r>
        <w:t>The risk escalates when AI stops merely answering and starts acting. Agentic systems can set subtasks, call tools, operate browsers or desktops, write code, change files, invoke APIs, and interact with business systems. A cloud chatbot failure is inconvenient; a cloud agent failure can corrupt workflows, leak data, make unauthorized changes, or stall core operations.</w:t>
      </w:r>
      <w:r>
        <w:rPr>
          <w:vertAlign w:val="superscript"/>
        </w:rPr>
        <w:t>25,15</w:t>
      </w:r>
    </w:p>
    <w:p w14:paraId="64DFB459" w14:textId="77777777" w:rsidR="00F95F1B" w:rsidRDefault="00B122E0">
      <w:pPr>
        <w:keepLines/>
      </w:pPr>
      <w:r>
        <w:t>The model should not own execution. The enterprise should own execution. Models may propose actions; the business must authorize them through scoped credentials, tool allowlists, human approval gates, sandboxing, simulation, audit logs, and rollback. Local control becomes more important as agency increases.</w:t>
      </w:r>
    </w:p>
    <w:p w14:paraId="7516B211" w14:textId="77777777" w:rsidR="00F95F1B" w:rsidRDefault="00B122E0">
      <w:pPr>
        <w:pStyle w:val="Heading2"/>
      </w:pPr>
      <w:r>
        <w:t>Point 6 conclusion</w:t>
      </w:r>
    </w:p>
    <w:p w14:paraId="02BA1A0F" w14:textId="77777777" w:rsidR="00F95F1B" w:rsidRDefault="00B122E0">
      <w:pPr>
        <w:keepLines/>
      </w:pPr>
      <w:r>
        <w:t>Cloud-only AI is risky when AI talks. It becomes structurally dangerous when AI acts. Agentic AI requires local governance, local observability, local tool policy, and local kill switches.</w:t>
      </w:r>
    </w:p>
    <w:p w14:paraId="388669DF" w14:textId="77777777" w:rsidR="00F95F1B" w:rsidRDefault="00B122E0">
      <w:pPr>
        <w:pStyle w:val="Heading1"/>
      </w:pPr>
      <w:r>
        <w:t>7. Compute, Energy, and Infrastructure Constraints</w:t>
      </w:r>
    </w:p>
    <w:p w14:paraId="1798613D" w14:textId="77777777" w:rsidR="00F95F1B" w:rsidRDefault="00B122E0">
      <w:pPr>
        <w:keepNext/>
        <w:keepLines/>
      </w:pPr>
      <w:r>
        <w:t>AI is constrained by physics, not just software. Chips, power, grid interconnection, transformers, cooling, data-center siting, transmission, and capital all affect who can access frontier AI and at what price. As demand grows, cloud capacity will be rationed in practice through tiers, queues, priority inference, pricing, model limits, or regional availability.</w:t>
      </w:r>
      <w:r>
        <w:rPr>
          <w:vertAlign w:val="superscript"/>
        </w:rPr>
        <w:t>26,27</w:t>
      </w:r>
    </w:p>
    <w:p w14:paraId="4BD727BE" w14:textId="77777777" w:rsidR="00F95F1B" w:rsidRDefault="00B122E0">
      <w:pPr>
        <w:keepLines/>
      </w:pPr>
      <w:r>
        <w:t>The IEA’s framing is blunt: there is no AI without electricity for data centers. NERC separately identifies rapid data-center load growth, including AI, as a planning and reliability challenge for the bulk power system. Stanford’s AI Index adds the broader trend: adoption is accelerating while inference costs and hardware efficiency improve, encouraging more demand rather than less.</w:t>
      </w:r>
      <w:r>
        <w:rPr>
          <w:vertAlign w:val="superscript"/>
        </w:rPr>
        <w:t>26,27,28</w:t>
      </w:r>
    </w:p>
    <w:p w14:paraId="181C81E9" w14:textId="77777777" w:rsidR="00F95F1B" w:rsidRDefault="00B122E0">
      <w:pPr>
        <w:keepLines/>
      </w:pPr>
      <w:r>
        <w:t>Local AI does not eliminate compute constraints, but it changes the dependency model. Enterprises can use smaller local models, quantization, RAG, distillation, task-specific classifiers, local embeddings, cached reasoning, and edge inference to reduce cloud dependency and reserve frontier calls for exceptional tasks.</w:t>
      </w:r>
    </w:p>
    <w:p w14:paraId="18B091FA" w14:textId="77777777" w:rsidR="00F95F1B" w:rsidRDefault="00B122E0">
      <w:pPr>
        <w:pStyle w:val="Heading2"/>
      </w:pPr>
      <w:r>
        <w:t>Point 7 conclusion</w:t>
      </w:r>
    </w:p>
    <w:p w14:paraId="48DCDE7D" w14:textId="77777777" w:rsidR="00F95F1B" w:rsidRDefault="00B122E0">
      <w:pPr>
        <w:keepLines/>
      </w:pPr>
      <w:r>
        <w:t>Local AI is not only about privacy. It is also about capacity independence. Businesses that depend entirely on cloud AI inherit someone else’s infrastructure scarcity.</w:t>
      </w:r>
    </w:p>
    <w:p w14:paraId="5C5043DD" w14:textId="77777777" w:rsidR="00F95F1B" w:rsidRDefault="00B122E0">
      <w:pPr>
        <w:pStyle w:val="Heading1"/>
      </w:pPr>
      <w:r>
        <w:t>8. Economic, Labor, and Social Pressure</w:t>
      </w:r>
    </w:p>
    <w:p w14:paraId="0E48690D" w14:textId="77777777" w:rsidR="00F95F1B" w:rsidRDefault="00B122E0">
      <w:pPr>
        <w:keepNext/>
        <w:keepLines/>
      </w:pPr>
      <w:r>
        <w:t>AI will become more politically contested as adoption accelerates. Public concern about jobs, trust, safety, and corporate responsibility will increase pressure on centralized providers because they are visible, governable, and enforceable chokepoints.</w:t>
      </w:r>
      <w:r>
        <w:rPr>
          <w:vertAlign w:val="superscript"/>
        </w:rPr>
        <w:t>29,30,28</w:t>
      </w:r>
    </w:p>
    <w:p w14:paraId="0AF2E38E" w14:textId="77777777" w:rsidR="00F95F1B" w:rsidRDefault="00B122E0">
      <w:pPr>
        <w:keepLines/>
      </w:pPr>
      <w:r>
        <w:t>Pew’s 2025 public-opinion work shows a large gap between AI experts and the U.S. public, with many adults more concerned than excited about AI and worried about job loss. The New York Fed’s recent-graduate tracker shows persistent labor-market challenges for young workers. Even if the net long-term effect of AI is positive, public anxiety and labor disruption can produce political pressure now.</w:t>
      </w:r>
      <w:r>
        <w:rPr>
          <w:vertAlign w:val="superscript"/>
        </w:rPr>
        <w:t>29,30</w:t>
      </w:r>
    </w:p>
    <w:p w14:paraId="23106B2C" w14:textId="77777777" w:rsidR="00F95F1B" w:rsidRDefault="00B122E0">
      <w:pPr>
        <w:keepLines/>
      </w:pPr>
      <w:r>
        <w:t>The policy consequence is predictable. Centralized providers will face more audits, restrictions, reporting obligations, safety gates, refusals, regional compliance burdens, use-case restrictions, and monitoring requirements. Some of those controls may be necessary, but businesses depending entirely on those providers will inherit the resulting instability.</w:t>
      </w:r>
    </w:p>
    <w:p w14:paraId="47EC2D62" w14:textId="77777777" w:rsidR="00F95F1B" w:rsidRDefault="00B122E0">
      <w:pPr>
        <w:pStyle w:val="Heading2"/>
      </w:pPr>
      <w:r>
        <w:t>Point 8 conclusion</w:t>
      </w:r>
    </w:p>
    <w:p w14:paraId="4A95DD7F" w14:textId="77777777" w:rsidR="00F95F1B" w:rsidRDefault="00B122E0">
      <w:pPr>
        <w:keepLines/>
      </w:pPr>
      <w:r>
        <w:t>The more AI becomes politically contested, the more cloud AI becomes a policy-controlled utility. That is another reason local capability must become part of enterprise continuity planning.</w:t>
      </w:r>
    </w:p>
    <w:p w14:paraId="725F2341" w14:textId="77777777" w:rsidR="00F95F1B" w:rsidRDefault="00B122E0">
      <w:pPr>
        <w:pStyle w:val="Heading1"/>
      </w:pPr>
      <w:r>
        <w:t>Implementation Implications for Medium-to-Large Businesses</w:t>
      </w:r>
    </w:p>
    <w:p w14:paraId="46D877D0" w14:textId="77777777" w:rsidR="00F95F1B" w:rsidRDefault="00B122E0">
      <w:pPr>
        <w:keepNext/>
        <w:keepLines/>
      </w:pPr>
      <w:r>
        <w:t>The practical recommendation is not to abandon cloud AI. It is to stop treating cloud AI as the sole operating substrate. Medium-to-large businesses should build a local AI continuity layer, then use cloud AI opportunistically for frontier acceleration.</w:t>
      </w:r>
    </w:p>
    <w:p w14:paraId="7979427F" w14:textId="77777777" w:rsidR="00F95F1B" w:rsidRDefault="00B122E0">
      <w:pPr>
        <w:keepLines/>
        <w:tabs>
          <w:tab w:val="left" w:pos="317"/>
        </w:tabs>
        <w:spacing w:after="80"/>
        <w:ind w:left="317" w:hanging="317"/>
      </w:pPr>
      <w:r>
        <w:t>•</w:t>
      </w:r>
      <w:r>
        <w:tab/>
      </w:r>
      <w:r>
        <w:t>Build or buy a model gateway that can route across OpenAI, Anthropic, Google/Gemini, xAI/Grok, local models, and specialized internal models.</w:t>
      </w:r>
    </w:p>
    <w:p w14:paraId="3BF8FD78" w14:textId="77777777" w:rsidR="00F95F1B" w:rsidRDefault="00B122E0">
      <w:pPr>
        <w:keepLines/>
        <w:tabs>
          <w:tab w:val="left" w:pos="317"/>
        </w:tabs>
        <w:spacing w:after="80"/>
        <w:ind w:left="317" w:hanging="317"/>
      </w:pPr>
      <w:r>
        <w:t>•</w:t>
      </w:r>
      <w:r>
        <w:tab/>
        <w:t>Maintain at least one locally deployable model that can perform core workflows at acceptable quality without cloud connectivity.</w:t>
      </w:r>
    </w:p>
    <w:p w14:paraId="5A20BDD5" w14:textId="77777777" w:rsidR="00F95F1B" w:rsidRDefault="00B122E0">
      <w:pPr>
        <w:keepLines/>
        <w:tabs>
          <w:tab w:val="left" w:pos="317"/>
        </w:tabs>
        <w:spacing w:after="80"/>
        <w:ind w:left="317" w:hanging="317"/>
      </w:pPr>
      <w:r>
        <w:t>•</w:t>
      </w:r>
      <w:r>
        <w:tab/>
        <w:t>Keep enterprise memory, embeddings, documents, tool state, and workflow logs separate from any single provider.</w:t>
      </w:r>
    </w:p>
    <w:p w14:paraId="351F7B08" w14:textId="77777777" w:rsidR="00F95F1B" w:rsidRDefault="00B122E0">
      <w:pPr>
        <w:keepLines/>
        <w:tabs>
          <w:tab w:val="left" w:pos="317"/>
        </w:tabs>
        <w:spacing w:after="80"/>
        <w:ind w:left="317" w:hanging="317"/>
      </w:pPr>
      <w:r>
        <w:t>•</w:t>
      </w:r>
      <w:r>
        <w:tab/>
      </w:r>
      <w:r>
        <w:t>Create an internal AI evaluation harness to compare local and cloud models, detect drift, track refusal rates, measure task success, and validate outputs.</w:t>
      </w:r>
    </w:p>
    <w:p w14:paraId="13BFB5E7" w14:textId="77777777" w:rsidR="00F95F1B" w:rsidRDefault="00B122E0">
      <w:pPr>
        <w:keepLines/>
        <w:tabs>
          <w:tab w:val="left" w:pos="317"/>
        </w:tabs>
        <w:spacing w:after="80"/>
        <w:ind w:left="317" w:hanging="317"/>
      </w:pPr>
      <w:r>
        <w:t>•</w:t>
      </w:r>
      <w:r>
        <w:tab/>
        <w:t>Use cloud frontier models for hard reasoning, research, adversarial review, distillation, code acceleration, and surge capacity - not as the only path for mission-critical work.</w:t>
      </w:r>
    </w:p>
    <w:p w14:paraId="3CB22A26" w14:textId="77777777" w:rsidR="00F95F1B" w:rsidRDefault="00B122E0">
      <w:pPr>
        <w:keepLines/>
        <w:tabs>
          <w:tab w:val="left" w:pos="317"/>
        </w:tabs>
        <w:spacing w:after="80"/>
        <w:ind w:left="317" w:hanging="317"/>
      </w:pPr>
      <w:r>
        <w:t>•</w:t>
      </w:r>
      <w:r>
        <w:tab/>
        <w:t>Implement an enterprise policy layer that decides when data may leave the company, when local-only processing is required, and what agent actions require human approval.</w:t>
      </w:r>
    </w:p>
    <w:p w14:paraId="1A07B55F" w14:textId="77777777" w:rsidR="00F95F1B" w:rsidRDefault="00B122E0">
      <w:pPr>
        <w:keepLines/>
        <w:tabs>
          <w:tab w:val="left" w:pos="317"/>
        </w:tabs>
        <w:spacing w:after="80"/>
        <w:ind w:left="317" w:hanging="317"/>
      </w:pPr>
      <w:r>
        <w:t>•</w:t>
      </w:r>
      <w:r>
        <w:tab/>
      </w:r>
      <w:r>
        <w:t>Sandbox agents with scoped credentials, read/write separation, approval gates, audit logs, and rollback plans.</w:t>
      </w:r>
    </w:p>
    <w:p w14:paraId="34C5AE84" w14:textId="77777777" w:rsidR="00F95F1B" w:rsidRDefault="00B122E0">
      <w:pPr>
        <w:keepLines/>
        <w:tabs>
          <w:tab w:val="left" w:pos="317"/>
        </w:tabs>
        <w:spacing w:after="80"/>
        <w:ind w:left="317" w:hanging="317"/>
      </w:pPr>
      <w:r>
        <w:t>•</w:t>
      </w:r>
      <w:r>
        <w:tab/>
        <w:t>Refresh the local model portfolio every three to six months as open-weight models improve.</w:t>
      </w:r>
    </w:p>
    <w:p w14:paraId="1EC4CFDA" w14:textId="77777777" w:rsidR="00F95F1B" w:rsidRDefault="00B122E0">
      <w:pPr>
        <w:pStyle w:val="Heading2"/>
      </w:pPr>
      <w:r>
        <w:t>Recommended Operating Principle</w:t>
      </w:r>
    </w:p>
    <w:p w14:paraId="7F66A61F" w14:textId="77777777" w:rsidR="00F95F1B" w:rsidRDefault="00B122E0">
      <w:pPr>
        <w:keepLines/>
      </w:pPr>
      <w:r>
        <w:t>Cloud AI for advantage. Local AI for survival.</w:t>
      </w:r>
    </w:p>
    <w:p w14:paraId="200001DA" w14:textId="77777777" w:rsidR="00F95F1B" w:rsidRDefault="00B122E0">
      <w:pPr>
        <w:pStyle w:val="Heading1"/>
      </w:pPr>
      <w:r>
        <w:t>Conclusion</w:t>
      </w:r>
    </w:p>
    <w:p w14:paraId="3B53D526" w14:textId="77777777" w:rsidR="00F95F1B" w:rsidRDefault="00B122E0">
      <w:pPr>
        <w:keepNext/>
        <w:keepLines/>
      </w:pPr>
      <w:r>
        <w:t xml:space="preserve">The central conclusion is direct: cloud-only AI is a highly likely structural point of failure for medium-to-large businesses once AI becomes mission-critical. The evidence is contractual, technical, geopolitical, infrastructural, and social. Providers reserve access-control and suspension rights. Governments can intervene through export controls and national-security authorities. Model behavior can change. Cloud services can be rationed, deprecated, monitored, or restricted. Jurisdictions are fragmenting. </w:t>
      </w:r>
      <w:r>
        <w:t>Agentic AI increases execution risk. Energy and compute constraints will make capacity a scarce and politically important resource. Public anxiety and labor disruption will push more control toward centralized providers.</w:t>
      </w:r>
    </w:p>
    <w:p w14:paraId="1A24DB30" w14:textId="77777777" w:rsidR="00F95F1B" w:rsidRDefault="00B122E0">
      <w:pPr>
        <w:keepLines/>
      </w:pPr>
      <w:r>
        <w:t>The answer is not nostalgia for on-prem software. The answer is a modern local AI control plane: locally deployable models, owned memory, owned data, owned policy, owned routing, owned evaluation, and owned continuity. Frontier cloud models will remain powerful and valuable, but they should be treated as accelerators, not lifelines.</w:t>
      </w:r>
    </w:p>
    <w:p w14:paraId="12F985C0" w14:textId="77777777" w:rsidR="00F95F1B" w:rsidRDefault="00B122E0">
      <w:pPr>
        <w:keepLines/>
      </w:pPr>
      <w:r>
        <w:t>A serious organization may choose to use cloud AI. It should never be unable to operate without it.</w:t>
      </w:r>
    </w:p>
    <w:p w14:paraId="098CCAE7" w14:textId="77777777" w:rsidR="00F95F1B" w:rsidRDefault="00B122E0">
      <w:pPr>
        <w:pStyle w:val="Heading1"/>
        <w:pageBreakBefore/>
      </w:pPr>
      <w:r>
        <w:t>References</w:t>
      </w:r>
    </w:p>
    <w:p w14:paraId="7950C393" w14:textId="77777777" w:rsidR="00F95F1B" w:rsidRDefault="00B122E0">
      <w:pPr>
        <w:pStyle w:val="Reference"/>
      </w:pPr>
      <w:r>
        <w:t xml:space="preserve">Anthropic. Statement on the US government directive to suspend access to Fable 5 and Mythos 5. June 12, 2026. </w:t>
      </w:r>
      <w:hyperlink r:id="rId8">
        <w:r w:rsidR="00F95F1B">
          <w:rPr>
            <w:sz w:val="19"/>
          </w:rPr>
          <w:t>https://www.anthropic.com/news/fable-mythos-access</w:t>
        </w:r>
      </w:hyperlink>
    </w:p>
    <w:p w14:paraId="2A6BDF6E" w14:textId="77777777" w:rsidR="00F95F1B" w:rsidRDefault="00B122E0">
      <w:pPr>
        <w:pStyle w:val="Reference"/>
      </w:pPr>
      <w:r>
        <w:t xml:space="preserve">Anthropic. Commercial Terms of Service. Effective June 17, 2025. </w:t>
      </w:r>
      <w:hyperlink r:id="rId9">
        <w:r w:rsidR="00F95F1B">
          <w:rPr>
            <w:sz w:val="19"/>
          </w:rPr>
          <w:t>https://www.anthropic.com/legal/commercial-terms</w:t>
        </w:r>
      </w:hyperlink>
    </w:p>
    <w:p w14:paraId="076750B6" w14:textId="77777777" w:rsidR="00F95F1B" w:rsidRDefault="00B122E0">
      <w:pPr>
        <w:pStyle w:val="Reference"/>
      </w:pPr>
      <w:r>
        <w:t xml:space="preserve">Anthropic. Consumer Terms of Service. Accessed September 13, 2026. </w:t>
      </w:r>
      <w:hyperlink r:id="rId10">
        <w:r w:rsidR="00F95F1B">
          <w:rPr>
            <w:sz w:val="19"/>
          </w:rPr>
          <w:t>https://www.anthropic.com/legal/consumer-terms</w:t>
        </w:r>
      </w:hyperlink>
    </w:p>
    <w:p w14:paraId="2190101D" w14:textId="77777777" w:rsidR="00F95F1B" w:rsidRDefault="00B122E0">
      <w:pPr>
        <w:pStyle w:val="Reference"/>
      </w:pPr>
      <w:r>
        <w:t xml:space="preserve">Anthropic. Computer Use Tool - Claude API Docs. Accessed September 13, 2026. </w:t>
      </w:r>
      <w:hyperlink r:id="rId11">
        <w:r w:rsidR="00F95F1B">
          <w:rPr>
            <w:sz w:val="19"/>
          </w:rPr>
          <w:t>https://platform.claude.com/docs/en/agents-and-tools/tool-use/computer-use-tool</w:t>
        </w:r>
      </w:hyperlink>
    </w:p>
    <w:p w14:paraId="2EC6F2A4" w14:textId="77777777" w:rsidR="00F95F1B" w:rsidRDefault="00B122E0">
      <w:pPr>
        <w:pStyle w:val="Reference"/>
      </w:pPr>
      <w:r>
        <w:t xml:space="preserve">OpenAI. OpenAI Services Agreement. Effective January 1, 2026. </w:t>
      </w:r>
      <w:hyperlink r:id="rId12">
        <w:r w:rsidR="00F95F1B">
          <w:rPr>
            <w:sz w:val="19"/>
          </w:rPr>
          <w:t>https://openai.com/policies/services-agreement/</w:t>
        </w:r>
      </w:hyperlink>
    </w:p>
    <w:p w14:paraId="215749B5" w14:textId="77777777" w:rsidR="00F95F1B" w:rsidRDefault="00B122E0">
      <w:pPr>
        <w:pStyle w:val="Reference"/>
      </w:pPr>
      <w:r>
        <w:t xml:space="preserve">OpenAI. Terms of Use. Accessed September 13, 2026. </w:t>
      </w:r>
      <w:hyperlink r:id="rId13">
        <w:r w:rsidR="00F95F1B">
          <w:rPr>
            <w:sz w:val="19"/>
          </w:rPr>
          <w:t>https://openai.com/policies/terms-of-use/</w:t>
        </w:r>
      </w:hyperlink>
    </w:p>
    <w:p w14:paraId="2CB36D36" w14:textId="77777777" w:rsidR="00F95F1B" w:rsidRDefault="00B122E0">
      <w:pPr>
        <w:pStyle w:val="Reference"/>
      </w:pPr>
      <w:r>
        <w:t xml:space="preserve">OpenAI. Enterprise Privacy. Accessed September 13, 2026. </w:t>
      </w:r>
      <w:hyperlink r:id="rId14">
        <w:r w:rsidR="00F95F1B">
          <w:rPr>
            <w:sz w:val="19"/>
          </w:rPr>
          <w:t>https://openai.com/enterprise-privacy/</w:t>
        </w:r>
      </w:hyperlink>
    </w:p>
    <w:p w14:paraId="7A717CE4" w14:textId="77777777" w:rsidR="00F95F1B" w:rsidRDefault="00B122E0">
      <w:pPr>
        <w:pStyle w:val="Reference"/>
      </w:pPr>
      <w:r>
        <w:t xml:space="preserve">OpenAI Help Center. OpenAI API - Supported Countries and Territories. Accessed September 13, 2026. </w:t>
      </w:r>
      <w:hyperlink r:id="rId15">
        <w:r w:rsidR="00F95F1B">
          <w:rPr>
            <w:sz w:val="19"/>
          </w:rPr>
          <w:t>https://help.openai.com/en/articles/5347006-openai-api-supported-countries-and-territories</w:t>
        </w:r>
      </w:hyperlink>
    </w:p>
    <w:p w14:paraId="6ED13395" w14:textId="77777777" w:rsidR="00F95F1B" w:rsidRDefault="00B122E0">
      <w:pPr>
        <w:pStyle w:val="Reference"/>
      </w:pPr>
      <w:r>
        <w:t xml:space="preserve">OpenAI. Open Models by OpenAI. Accessed September 13, 2026. </w:t>
      </w:r>
      <w:hyperlink r:id="rId16">
        <w:r w:rsidR="00F95F1B">
          <w:rPr>
            <w:sz w:val="19"/>
          </w:rPr>
          <w:t>https://openai.com/open-models/</w:t>
        </w:r>
      </w:hyperlink>
    </w:p>
    <w:p w14:paraId="6AB4C59A" w14:textId="77777777" w:rsidR="00F95F1B" w:rsidRDefault="00B122E0">
      <w:pPr>
        <w:pStyle w:val="Reference"/>
      </w:pPr>
      <w:r>
        <w:t xml:space="preserve">OpenAI. gpt-oss-120b &amp; gpt-oss-20b Model Card. 2025. </w:t>
      </w:r>
      <w:hyperlink r:id="rId17">
        <w:r w:rsidR="00F95F1B">
          <w:rPr>
            <w:sz w:val="19"/>
          </w:rPr>
          <w:t>https://arxiv.org/abs/2508.10925</w:t>
        </w:r>
      </w:hyperlink>
    </w:p>
    <w:p w14:paraId="340D8322" w14:textId="77777777" w:rsidR="00F95F1B" w:rsidRDefault="00B122E0">
      <w:pPr>
        <w:pStyle w:val="Reference"/>
      </w:pPr>
      <w:r>
        <w:t xml:space="preserve">OpenAI. Agents SDK / Agents documentation. Accessed September 13, 2026. </w:t>
      </w:r>
      <w:hyperlink r:id="rId18">
        <w:r w:rsidR="00F95F1B">
          <w:rPr>
            <w:sz w:val="19"/>
          </w:rPr>
          <w:t>https://platform.openai.com/docs/guides/agents</w:t>
        </w:r>
      </w:hyperlink>
    </w:p>
    <w:p w14:paraId="056C6F32" w14:textId="77777777" w:rsidR="00F95F1B" w:rsidRDefault="00B122E0">
      <w:pPr>
        <w:pStyle w:val="Reference"/>
      </w:pPr>
      <w:r>
        <w:t xml:space="preserve">OpenAI. Status History. Accessed September 13, 2026. </w:t>
      </w:r>
      <w:hyperlink r:id="rId19">
        <w:r w:rsidR="00F95F1B">
          <w:rPr>
            <w:sz w:val="19"/>
          </w:rPr>
          <w:t>https://status.openai.com/history</w:t>
        </w:r>
      </w:hyperlink>
    </w:p>
    <w:p w14:paraId="2BF27B5A" w14:textId="77777777" w:rsidR="00F95F1B" w:rsidRDefault="00B122E0">
      <w:pPr>
        <w:pStyle w:val="Reference"/>
      </w:pPr>
      <w:r>
        <w:t xml:space="preserve">Google. Gemini API Additional Terms of Service. Effective March 23, 2026. </w:t>
      </w:r>
      <w:hyperlink r:id="rId20">
        <w:r w:rsidR="00F95F1B">
          <w:rPr>
            <w:sz w:val="19"/>
          </w:rPr>
          <w:t>https://ai.google.dev/gemini-api/terms</w:t>
        </w:r>
      </w:hyperlink>
    </w:p>
    <w:p w14:paraId="1072E94A" w14:textId="77777777" w:rsidR="00F95F1B" w:rsidRDefault="00B122E0">
      <w:pPr>
        <w:pStyle w:val="Reference"/>
      </w:pPr>
      <w:r>
        <w:t xml:space="preserve">Google. Google APIs Terms of Service. Accessed September 13, 2026. </w:t>
      </w:r>
      <w:hyperlink r:id="rId21">
        <w:r w:rsidR="00F95F1B">
          <w:rPr>
            <w:sz w:val="19"/>
          </w:rPr>
          <w:t>https://developers.google.com/terms</w:t>
        </w:r>
      </w:hyperlink>
    </w:p>
    <w:p w14:paraId="236C7B33" w14:textId="77777777" w:rsidR="00F95F1B" w:rsidRDefault="00B122E0">
      <w:pPr>
        <w:pStyle w:val="Reference"/>
      </w:pPr>
      <w:r>
        <w:t xml:space="preserve">Google Cloud. RAG Engine on Gemini Enterprise Agent Platform overview. Accessed September 13, 2026. </w:t>
      </w:r>
      <w:hyperlink r:id="rId22">
        <w:r w:rsidR="00F95F1B">
          <w:rPr>
            <w:sz w:val="19"/>
          </w:rPr>
          <w:t>https://docs.cloud.google.com/gemini-enterprise-agent-platform/build/rag-engine/rag-overview</w:t>
        </w:r>
      </w:hyperlink>
    </w:p>
    <w:p w14:paraId="13BF19AA" w14:textId="77777777" w:rsidR="00F95F1B" w:rsidRDefault="00B122E0">
      <w:pPr>
        <w:pStyle w:val="Reference"/>
      </w:pPr>
      <w:r>
        <w:t xml:space="preserve">xAI. Terms of Service - Consumer. Effective April 10, 2026. </w:t>
      </w:r>
      <w:hyperlink r:id="rId23">
        <w:r w:rsidR="00F95F1B">
          <w:rPr>
            <w:sz w:val="19"/>
          </w:rPr>
          <w:t>https://x.ai/legal/terms-of-service</w:t>
        </w:r>
      </w:hyperlink>
    </w:p>
    <w:p w14:paraId="254842D6" w14:textId="77777777" w:rsidR="00F95F1B" w:rsidRDefault="00B122E0">
      <w:pPr>
        <w:pStyle w:val="Reference"/>
      </w:pPr>
      <w:r>
        <w:t xml:space="preserve">xAI. Terms of Service - Enterprise. Accessed September 13, 2026. </w:t>
      </w:r>
      <w:hyperlink r:id="rId24">
        <w:r w:rsidR="00F95F1B">
          <w:rPr>
            <w:sz w:val="19"/>
          </w:rPr>
          <w:t>https://x.ai/legal/terms-of-service-enterprise</w:t>
        </w:r>
      </w:hyperlink>
    </w:p>
    <w:p w14:paraId="6038C86F" w14:textId="77777777" w:rsidR="00F95F1B" w:rsidRDefault="00B122E0">
      <w:pPr>
        <w:pStyle w:val="Reference"/>
      </w:pPr>
      <w:r>
        <w:t xml:space="preserve">xAI. Acceptable Use Policy. Accessed September 13, 2026. </w:t>
      </w:r>
      <w:hyperlink r:id="rId25">
        <w:r w:rsidR="00F95F1B">
          <w:rPr>
            <w:sz w:val="19"/>
          </w:rPr>
          <w:t>https://x.ai/legal/acceptable-use-policy</w:t>
        </w:r>
      </w:hyperlink>
    </w:p>
    <w:p w14:paraId="7D6E291B" w14:textId="77777777" w:rsidR="00F95F1B" w:rsidRDefault="00B122E0">
      <w:pPr>
        <w:pStyle w:val="Reference"/>
      </w:pPr>
      <w:r>
        <w:t xml:space="preserve">U.S. Department of Commerce, BIS. Framework for Artificial Intelligence Diffusion. Federal Register, 90 FR 4544, January 15, 2025. </w:t>
      </w:r>
      <w:hyperlink r:id="rId26">
        <w:r w:rsidR="00F95F1B">
          <w:rPr>
            <w:sz w:val="19"/>
          </w:rPr>
          <w:t>https://www.federalregister.gov/documents/2025/01/15/2025-00636/framework-for-artificial-intelligence-diffusion</w:t>
        </w:r>
      </w:hyperlink>
    </w:p>
    <w:p w14:paraId="062BE866" w14:textId="77777777" w:rsidR="00F95F1B" w:rsidRDefault="00B122E0">
      <w:pPr>
        <w:pStyle w:val="Reference"/>
      </w:pPr>
      <w:r>
        <w:t xml:space="preserve">eCFR. 15 CFR 734.13 - Export. Accessed September 13, 2026. </w:t>
      </w:r>
      <w:hyperlink r:id="rId27">
        <w:r w:rsidR="00F95F1B">
          <w:rPr>
            <w:sz w:val="19"/>
          </w:rPr>
          <w:t>https://www.ecfr.gov/current/title-15/part-734/section-734.13</w:t>
        </w:r>
      </w:hyperlink>
    </w:p>
    <w:p w14:paraId="5D7F40A2" w14:textId="77777777" w:rsidR="00F95F1B" w:rsidRDefault="00B122E0">
      <w:pPr>
        <w:pStyle w:val="Reference"/>
      </w:pPr>
      <w:r>
        <w:t xml:space="preserve">The White House. Winning the AI Race: America’s AI Action Plan. July 2025. </w:t>
      </w:r>
      <w:hyperlink r:id="rId28">
        <w:r w:rsidR="00F95F1B">
          <w:rPr>
            <w:sz w:val="19"/>
          </w:rPr>
          <w:t>https://www.whitehouse.gov/wp-content/uploads/2025/07/Americas-AI-Action-Plan.pdf</w:t>
        </w:r>
      </w:hyperlink>
    </w:p>
    <w:p w14:paraId="75DF6DCD" w14:textId="77777777" w:rsidR="00F95F1B" w:rsidRDefault="00B122E0">
      <w:pPr>
        <w:pStyle w:val="Reference"/>
      </w:pPr>
      <w:r>
        <w:t xml:space="preserve">European Commission. AI Act. Accessed September 13, 2026. </w:t>
      </w:r>
      <w:hyperlink r:id="rId29">
        <w:r w:rsidR="00F95F1B">
          <w:rPr>
            <w:sz w:val="19"/>
          </w:rPr>
          <w:t>https://digital-strategy.ec.europa.eu/en/policies/regulatory-framework-ai</w:t>
        </w:r>
      </w:hyperlink>
    </w:p>
    <w:p w14:paraId="17844158" w14:textId="77777777" w:rsidR="00F95F1B" w:rsidRDefault="00B122E0">
      <w:pPr>
        <w:pStyle w:val="Reference"/>
      </w:pPr>
      <w:r>
        <w:t xml:space="preserve">European Commission. AI Factories. Accessed September 13, 2026. </w:t>
      </w:r>
      <w:hyperlink r:id="rId30">
        <w:r w:rsidR="00F95F1B">
          <w:rPr>
            <w:sz w:val="19"/>
          </w:rPr>
          <w:t>https://digital-strategy.ec.europa.eu/en/policies/ai-factories</w:t>
        </w:r>
      </w:hyperlink>
    </w:p>
    <w:p w14:paraId="47CB87CA" w14:textId="77777777" w:rsidR="00F95F1B" w:rsidRDefault="00B122E0">
      <w:pPr>
        <w:pStyle w:val="Reference"/>
      </w:pPr>
      <w:r>
        <w:t xml:space="preserve">Cyberspace Administration of China. Interim Measures for the Management of Generative AI Services. July 2023. </w:t>
      </w:r>
      <w:hyperlink r:id="rId31">
        <w:r w:rsidR="00F95F1B">
          <w:rPr>
            <w:sz w:val="19"/>
          </w:rPr>
          <w:t>https://www.cac.gov.cn/2023-07/13/c_1690898327029107.htm</w:t>
        </w:r>
      </w:hyperlink>
    </w:p>
    <w:p w14:paraId="66251A69" w14:textId="77777777" w:rsidR="00F95F1B" w:rsidRDefault="00B122E0">
      <w:pPr>
        <w:pStyle w:val="Reference"/>
      </w:pPr>
      <w:r>
        <w:t xml:space="preserve">NIST. AI Risk Management Framework. Accessed September 13, 2026. </w:t>
      </w:r>
      <w:hyperlink r:id="rId32">
        <w:r w:rsidR="00F95F1B">
          <w:rPr>
            <w:sz w:val="19"/>
          </w:rPr>
          <w:t>https://www.nist.gov/itl/ai-risk-management-framework</w:t>
        </w:r>
      </w:hyperlink>
    </w:p>
    <w:p w14:paraId="387319AB" w14:textId="77777777" w:rsidR="00F95F1B" w:rsidRDefault="00B122E0">
      <w:pPr>
        <w:pStyle w:val="Reference"/>
      </w:pPr>
      <w:r>
        <w:t xml:space="preserve">OWASP. OWASP Top 10 for LLM and GenAI Applications 2025. Accessed September 13, 2026. </w:t>
      </w:r>
      <w:hyperlink r:id="rId33">
        <w:r w:rsidR="00F95F1B">
          <w:rPr>
            <w:sz w:val="19"/>
          </w:rPr>
          <w:t>https://genai.owasp.org/llm-top-10/</w:t>
        </w:r>
      </w:hyperlink>
    </w:p>
    <w:p w14:paraId="32AC81B3" w14:textId="77777777" w:rsidR="00F95F1B" w:rsidRDefault="00B122E0">
      <w:pPr>
        <w:pStyle w:val="Reference"/>
      </w:pPr>
      <w:r>
        <w:t xml:space="preserve">Microsoft Learn. Data, privacy, and security for Foundry Models sold by Azure in Microsoft Foundry. Accessed September 13, 2026. </w:t>
      </w:r>
      <w:hyperlink r:id="rId34">
        <w:r w:rsidR="00F95F1B">
          <w:rPr>
            <w:sz w:val="19"/>
          </w:rPr>
          <w:t>https://learn.microsoft.com/en-us/azure/foundry/responsible-ai/openai/data-privacy</w:t>
        </w:r>
      </w:hyperlink>
    </w:p>
    <w:p w14:paraId="1EF87BEF" w14:textId="77777777" w:rsidR="00F95F1B" w:rsidRDefault="00B122E0">
      <w:pPr>
        <w:pStyle w:val="Reference"/>
      </w:pPr>
      <w:r>
        <w:t xml:space="preserve">Microsoft Learn. Securing Azure OpenAI inside a virtual network with private endpoints. Accessed September 13, 2026. </w:t>
      </w:r>
      <w:hyperlink r:id="rId35">
        <w:r w:rsidR="00F95F1B">
          <w:rPr>
            <w:sz w:val="19"/>
          </w:rPr>
          <w:t>https://learn.microsoft.com/en-us/azure/foundry-classic/openai/how-to/network</w:t>
        </w:r>
      </w:hyperlink>
    </w:p>
    <w:p w14:paraId="3DB73360" w14:textId="77777777" w:rsidR="00F95F1B" w:rsidRDefault="00B122E0">
      <w:pPr>
        <w:pStyle w:val="Reference"/>
      </w:pPr>
      <w:r>
        <w:t xml:space="preserve">Hugging Face. Terms of Service. Effective September 15, 2022. </w:t>
      </w:r>
      <w:hyperlink r:id="rId36">
        <w:r w:rsidR="00F95F1B">
          <w:rPr>
            <w:sz w:val="19"/>
          </w:rPr>
          <w:t>https://huggingface.co/terms-of-service</w:t>
        </w:r>
      </w:hyperlink>
    </w:p>
    <w:p w14:paraId="383AC284" w14:textId="77777777" w:rsidR="00F95F1B" w:rsidRDefault="00B122E0">
      <w:pPr>
        <w:pStyle w:val="Reference"/>
      </w:pPr>
      <w:r>
        <w:t xml:space="preserve">Meta. Download Llama. Accessed September 13, 2026. </w:t>
      </w:r>
      <w:hyperlink r:id="rId37">
        <w:r w:rsidR="00F95F1B">
          <w:rPr>
            <w:sz w:val="19"/>
          </w:rPr>
          <w:t>https://www.llama.com/llama-downloads/</w:t>
        </w:r>
      </w:hyperlink>
    </w:p>
    <w:p w14:paraId="41451739" w14:textId="77777777" w:rsidR="00F95F1B" w:rsidRDefault="00B122E0">
      <w:pPr>
        <w:pStyle w:val="Reference"/>
      </w:pPr>
      <w:r>
        <w:t xml:space="preserve">International Energy Agency. Energy and AI. April 10, 2025. </w:t>
      </w:r>
      <w:hyperlink r:id="rId38">
        <w:r w:rsidR="00F95F1B">
          <w:rPr>
            <w:sz w:val="19"/>
          </w:rPr>
          <w:t>https://www.iea.org/reports/energy-and-ai</w:t>
        </w:r>
      </w:hyperlink>
    </w:p>
    <w:p w14:paraId="1298B44F" w14:textId="77777777" w:rsidR="00F95F1B" w:rsidRDefault="00B122E0">
      <w:pPr>
        <w:pStyle w:val="Reference"/>
      </w:pPr>
      <w:r>
        <w:t xml:space="preserve">NERC. 2024 Long-Term Reliability Assessment. Corrected July 11, 2025. </w:t>
      </w:r>
      <w:hyperlink r:id="rId39">
        <w:r w:rsidR="00F95F1B">
          <w:rPr>
            <w:sz w:val="19"/>
          </w:rPr>
          <w:t>https://www.nerc.com/pa/RAPA/ra/Reliability%20Assessments%20DL/NERC_Long%20Term%20Reliability%20Assessment_2024.pdf</w:t>
        </w:r>
      </w:hyperlink>
    </w:p>
    <w:p w14:paraId="074A02EF" w14:textId="77777777" w:rsidR="00F95F1B" w:rsidRDefault="00B122E0">
      <w:pPr>
        <w:pStyle w:val="Reference"/>
      </w:pPr>
      <w:r>
        <w:t xml:space="preserve">Stanford HAI. 2025 AI Index Report. 2025. </w:t>
      </w:r>
      <w:hyperlink r:id="rId40">
        <w:r w:rsidR="00F95F1B">
          <w:rPr>
            <w:sz w:val="19"/>
          </w:rPr>
          <w:t>https://hai.stanford.edu/ai-index/2025-ai-index-report</w:t>
        </w:r>
      </w:hyperlink>
    </w:p>
    <w:p w14:paraId="3D5F4232" w14:textId="77777777" w:rsidR="00F95F1B" w:rsidRDefault="00B122E0">
      <w:pPr>
        <w:pStyle w:val="Reference"/>
      </w:pPr>
      <w:r>
        <w:t xml:space="preserve">Pew Research Center. How the U.S. Public and AI Experts View Artificial Intelligence. April 3, 2025. </w:t>
      </w:r>
      <w:hyperlink r:id="rId41">
        <w:r w:rsidR="00F95F1B">
          <w:rPr>
            <w:sz w:val="19"/>
          </w:rPr>
          <w:t>https://www.pewresearch.org/internet/2025/04/03/how-the-us-public-and-ai-experts-view-artificial-intelligence/</w:t>
        </w:r>
      </w:hyperlink>
    </w:p>
    <w:p w14:paraId="0A7B5AEC" w14:textId="77777777" w:rsidR="00F95F1B" w:rsidRDefault="00B122E0">
      <w:pPr>
        <w:pStyle w:val="Reference"/>
      </w:pPr>
      <w:r>
        <w:t xml:space="preserve">Federal Reserve Bank of New York. The Labor Market for Recent College Graduates. Accessed September 13, 2026. </w:t>
      </w:r>
      <w:hyperlink r:id="rId42">
        <w:r w:rsidR="00F95F1B">
          <w:rPr>
            <w:sz w:val="19"/>
          </w:rPr>
          <w:t>https://www.newyorkfed.org/research/college-labor-market</w:t>
        </w:r>
      </w:hyperlink>
    </w:p>
    <w:p w14:paraId="395BD2A5" w14:textId="77777777" w:rsidR="00F95F1B" w:rsidRDefault="00B122E0">
      <w:pPr>
        <w:pStyle w:val="Reference"/>
      </w:pPr>
      <w:r>
        <w:t xml:space="preserve">Tom’s Hardware. Apple made marketing gold from the export ban on Power Mac G4 supercomputer in 1999. June 14, 2026. </w:t>
      </w:r>
      <w:hyperlink r:id="rId43">
        <w:r w:rsidR="00F95F1B">
          <w:rPr>
            <w:sz w:val="19"/>
          </w:rPr>
          <w:t>https://www.tomshardware.com/tech-industry/apple-made-marketing-gold-from-the-power-mac-g4-supercomputer-export-ban-in-1999-pentagon-banned-sales-of-the-400-mhz-g4-in-50-countries-when-it-launched-and-became-the-first-pc-to-be-classed-as-a-weapon</w:t>
        </w:r>
      </w:hyperlink>
    </w:p>
    <w:p w14:paraId="12ACE5A7" w14:textId="77777777" w:rsidR="00F95F1B" w:rsidRDefault="00B122E0">
      <w:pPr>
        <w:pStyle w:val="Reference"/>
      </w:pPr>
      <w:r>
        <w:t xml:space="preserve">Wired. PS2 Inside. June 2000. </w:t>
      </w:r>
      <w:hyperlink r:id="rId44">
        <w:r w:rsidR="00F95F1B">
          <w:rPr>
            <w:sz w:val="19"/>
          </w:rPr>
          <w:t>https://www.wired.com/2000/06/ps2-inside</w:t>
        </w:r>
      </w:hyperlink>
    </w:p>
    <w:p w14:paraId="0DF2E5C1" w14:textId="77777777" w:rsidR="00F95F1B" w:rsidRDefault="00B122E0">
      <w:pPr>
        <w:pStyle w:val="Reference"/>
      </w:pPr>
      <w:r>
        <w:t xml:space="preserve">Wired. Dropping PS3 Linux Support Lands Sony in Court. April 2010. </w:t>
      </w:r>
      <w:hyperlink r:id="rId45">
        <w:r w:rsidR="00F95F1B">
          <w:rPr>
            <w:sz w:val="19"/>
          </w:rPr>
          <w:t>https://www.wired.com/2010/04/playstation-linux</w:t>
        </w:r>
      </w:hyperlink>
    </w:p>
    <w:p w14:paraId="3A64C56D" w14:textId="77777777" w:rsidR="00F95F1B" w:rsidRDefault="00B122E0">
      <w:pPr>
        <w:pStyle w:val="Reference"/>
      </w:pPr>
      <w:r>
        <w:t xml:space="preserve">TIME. New Google Parent Company Drops "Don’t Be Evil" Motto. October 2015. </w:t>
      </w:r>
      <w:hyperlink r:id="rId46">
        <w:r w:rsidR="00F95F1B">
          <w:rPr>
            <w:sz w:val="19"/>
          </w:rPr>
          <w:t>https://time.com/4060575/alphabet-google-dont-be-evil/</w:t>
        </w:r>
      </w:hyperlink>
    </w:p>
    <w:p w14:paraId="46F6B5CC" w14:textId="77777777" w:rsidR="00F95F1B" w:rsidRDefault="00B122E0">
      <w:pPr>
        <w:pStyle w:val="Reference"/>
      </w:pPr>
      <w:r>
        <w:t>User-provided source. Moonshots podcast transcript, BX9ofqxmeYw_cleaned_transcript.txt. Provided in project context. Local source document</w:t>
      </w:r>
    </w:p>
    <w:p w14:paraId="01A92CBA" w14:textId="77777777" w:rsidR="00213D0E" w:rsidRDefault="00B122E0">
      <w:pPr>
        <w:pStyle w:val="Reference"/>
      </w:pPr>
      <w:r>
        <w:t>Anthropic. Redeploying Claude Fable 5. July 1, 2026. Accessed September 13, 2026. https://www.anthropic.com/news/redeploying-fable-5</w:t>
      </w:r>
    </w:p>
    <w:p w14:paraId="52259856" w14:textId="77777777" w:rsidR="00213D0E" w:rsidRDefault="00B122E0">
      <w:pPr>
        <w:pStyle w:val="Reference"/>
      </w:pPr>
      <w:r>
        <w:t>U.S. Department of Commerce, BIS. Department of Commerce Announces Rescission of Biden-Era Artificial Intelligence Diffusion Rule, Strengthens Chip-Related Export Controls. May 13, 2025. Accessed September 13, 2026. https://www.bis.gov/press-release/department-commerce-announces-rescission-biden-era-artificial-intelligence-diffusion-rule-strengthens</w:t>
      </w:r>
    </w:p>
    <w:p w14:paraId="07520100" w14:textId="77777777" w:rsidR="00213D0E" w:rsidRDefault="00B122E0">
      <w:pPr>
        <w:pStyle w:val="Reference"/>
      </w:pPr>
      <w:r>
        <w:t>U.S. Government Accountability Office. Applicability of the Congressional Review Act to the Rescission of the Artificial Intelligence Diffusion Rule. B-337935, May 12, 2026. Accessed September 13, 2026. https://www.gao.gov/products/b-337935</w:t>
      </w:r>
    </w:p>
    <w:p w14:paraId="6FFD0F33" w14:textId="77777777" w:rsidR="00F95F1B" w:rsidRDefault="00B122E0">
      <w:pPr>
        <w:pStyle w:val="Heading1"/>
        <w:pageBreakBefore/>
      </w:pPr>
      <w:r>
        <w:t>Footnotes</w:t>
      </w:r>
    </w:p>
    <w:p w14:paraId="5A3D0C30" w14:textId="77777777" w:rsidR="00F95F1B" w:rsidRDefault="00B122E0">
      <w:pPr>
        <w:pStyle w:val="Reference"/>
        <w:tabs>
          <w:tab w:val="left" w:pos="360"/>
        </w:tabs>
        <w:spacing w:after="80"/>
      </w:pPr>
      <w:r>
        <w:t>1.</w:t>
      </w:r>
      <w:r>
        <w:tab/>
        <w:t>User-provided Moonshots podcast transcript, BX9ofqxmeYw_cleaned_transcript.txt. The transcript is treated as thesis material and context; externally verifiable factual claims were checked against independent sources where possible.</w:t>
      </w:r>
    </w:p>
    <w:p w14:paraId="73098698" w14:textId="77777777" w:rsidR="00F95F1B" w:rsidRDefault="00B122E0">
      <w:pPr>
        <w:pStyle w:val="Reference"/>
        <w:tabs>
          <w:tab w:val="left" w:pos="360"/>
        </w:tabs>
        <w:spacing w:after="80"/>
      </w:pPr>
      <w:r>
        <w:t>2.</w:t>
      </w:r>
      <w:r>
        <w:tab/>
      </w:r>
      <w:r>
        <w:t>Anthropic, "Statement on the US government directive to suspend access to Fable 5 and Mythos 5," June 12, 2026. The statement says the U.S. government issued an export-control directive suspending access by any foreign national and that Anthropic had to disable the models for all customers to ensure compliance.</w:t>
      </w:r>
      <w:r>
        <w:t xml:space="preserve"> The U.S. export controls were lifted on June 30, 2026, and Fable 5 access resumed globally on July 1. Mythos 5 access was restored for vetted U.S. organizations, rather than made generally available. The episode illustrates sudden external control over access, not permanent model unavailability. See Anthropic, Redeploying Claude Fable 5, July 1, 2026.</w:t>
      </w:r>
    </w:p>
    <w:p w14:paraId="4F7D6A68" w14:textId="77777777" w:rsidR="00F95F1B" w:rsidRDefault="00B122E0">
      <w:pPr>
        <w:pStyle w:val="Reference"/>
        <w:tabs>
          <w:tab w:val="left" w:pos="360"/>
        </w:tabs>
        <w:spacing w:after="80"/>
      </w:pPr>
      <w:r>
        <w:t>3.</w:t>
      </w:r>
      <w:r>
        <w:tab/>
      </w:r>
      <w:r>
        <w:t>OpenAI Services Agreement, effective January 1, 2026. The agreement grants only a non-exclusive access right, permits service updates, restricts bypassing rate limits/safety mitigations, and allows suspension when required by law, policy, or security emergency.</w:t>
      </w:r>
    </w:p>
    <w:p w14:paraId="1967F4EB" w14:textId="77777777" w:rsidR="00F95F1B" w:rsidRDefault="00B122E0">
      <w:pPr>
        <w:pStyle w:val="Reference"/>
        <w:tabs>
          <w:tab w:val="left" w:pos="360"/>
        </w:tabs>
        <w:spacing w:after="80"/>
      </w:pPr>
      <w:r>
        <w:t>4.</w:t>
      </w:r>
      <w:r>
        <w:tab/>
      </w:r>
      <w:r>
        <w:t>Anthropic Commercial Terms of Service, effective June 17, 2025. The terms permit suspension for service risk, policy violation, legal prohibition, material cost increase, or third-party vendor failure, and disclaim uninterrupted or error-free service.</w:t>
      </w:r>
    </w:p>
    <w:p w14:paraId="442BACBE" w14:textId="77777777" w:rsidR="00F95F1B" w:rsidRDefault="00B122E0">
      <w:pPr>
        <w:pStyle w:val="Reference"/>
        <w:tabs>
          <w:tab w:val="left" w:pos="360"/>
        </w:tabs>
        <w:spacing w:after="80"/>
      </w:pPr>
      <w:r>
        <w:t>5.</w:t>
      </w:r>
      <w:r>
        <w:tab/>
      </w:r>
      <w:r>
        <w:t>Google Gemini API Additional Terms of Service, effective March 23, 2026. The terms restrict access by available region, prohibit competing-model development and model extraction, require compliance with prohibited-use policy, and subject less-restrictive safety settings to Google review and approval.</w:t>
      </w:r>
    </w:p>
    <w:p w14:paraId="5A8ED8E7" w14:textId="77777777" w:rsidR="00F95F1B" w:rsidRDefault="00B122E0">
      <w:pPr>
        <w:pStyle w:val="Reference"/>
        <w:tabs>
          <w:tab w:val="left" w:pos="360"/>
        </w:tabs>
        <w:spacing w:after="80"/>
      </w:pPr>
      <w:r>
        <w:t>6.</w:t>
      </w:r>
      <w:r>
        <w:tab/>
      </w:r>
      <w:r>
        <w:t>xAI Terms of Service - Consumer, effective April 10, 2026, and xAI Terms of Service - Enterprise. The terms reserve rights to rate-limit, suspend, terminate, monitor, discontinue, and disclaim uninterrupted/error-free operation.</w:t>
      </w:r>
    </w:p>
    <w:p w14:paraId="3523F4A1" w14:textId="77777777" w:rsidR="00F95F1B" w:rsidRDefault="00B122E0">
      <w:pPr>
        <w:pStyle w:val="Reference"/>
        <w:tabs>
          <w:tab w:val="left" w:pos="360"/>
        </w:tabs>
        <w:spacing w:after="80"/>
      </w:pPr>
      <w:r>
        <w:t>7.</w:t>
      </w:r>
      <w:r>
        <w:tab/>
      </w:r>
      <w:r>
        <w:t>U.S. Department of Commerce, Bureau of Industry and Security, "Framework for Artificial Intelligence Diffusion," Federal Register, 90 FR 4544, January 15, 2025. The rule revised controls for advanced computing ICs and added controls on certain advanced closed-weight AI model weights.</w:t>
      </w:r>
      <w:r>
        <w:t xml:space="preserve"> Commerce announced non-enforcement in May 2025 and initiated planned rescission and replacement. GAO clarified in May 2026 that rescission was not yet final and that the framework remained in the Code of Federal Regulations pending rulemaking; the issued framework should not be presented as an unchanged, actively enforced control stack. See Commerce, May 13, 2025, and GAO B-337935, May 12, 2026.</w:t>
      </w:r>
    </w:p>
    <w:p w14:paraId="3F6C8EBE" w14:textId="77777777" w:rsidR="00F95F1B" w:rsidRDefault="00B122E0">
      <w:pPr>
        <w:pStyle w:val="Reference"/>
        <w:tabs>
          <w:tab w:val="left" w:pos="360"/>
        </w:tabs>
        <w:spacing w:after="80"/>
      </w:pPr>
      <w:r>
        <w:t>8.</w:t>
      </w:r>
      <w:r>
        <w:tab/>
      </w:r>
      <w:r>
        <w:t>15 CFR 734.13 defines "export" to include transmission out of the United States and deemed export release of controlled technology or source code to foreign persons in the United States.</w:t>
      </w:r>
    </w:p>
    <w:p w14:paraId="42ACE916" w14:textId="77777777" w:rsidR="00F95F1B" w:rsidRDefault="00B122E0">
      <w:pPr>
        <w:pStyle w:val="Reference"/>
        <w:tabs>
          <w:tab w:val="left" w:pos="360"/>
        </w:tabs>
        <w:spacing w:after="80"/>
      </w:pPr>
      <w:r>
        <w:t>9.</w:t>
      </w:r>
      <w:r>
        <w:tab/>
        <w:t>Historical context: reporting on the 1999 Power Mac G4 export restriction describes the machine crossing then-relevant supercomputing thresholds and being restricted for export to certain countries. This is used as precedent for compute capability triggering policy controls, not as a one-to-one analogy to AI models.</w:t>
      </w:r>
    </w:p>
    <w:p w14:paraId="7E76D791" w14:textId="77777777" w:rsidR="00F95F1B" w:rsidRDefault="00B122E0">
      <w:pPr>
        <w:pStyle w:val="Reference"/>
        <w:tabs>
          <w:tab w:val="left" w:pos="360"/>
        </w:tabs>
        <w:spacing w:after="80"/>
      </w:pPr>
      <w:r>
        <w:t>10.</w:t>
      </w:r>
      <w:r>
        <w:tab/>
      </w:r>
      <w:r>
        <w:t>Historical context: the PlayStation 2 export controversy and PlayStation 3/OtherOS episode show that consumer hardware with vector or Cell-style processing can become strategically relevant compute, and that platform owners can later remove general-purpose compute functionality for security or platform reasons.</w:t>
      </w:r>
    </w:p>
    <w:p w14:paraId="3038C911" w14:textId="77777777" w:rsidR="00F95F1B" w:rsidRDefault="00B122E0">
      <w:pPr>
        <w:pStyle w:val="Reference"/>
        <w:tabs>
          <w:tab w:val="left" w:pos="360"/>
        </w:tabs>
        <w:spacing w:after="80"/>
      </w:pPr>
      <w:r>
        <w:t>11.</w:t>
      </w:r>
      <w:r>
        <w:tab/>
      </w:r>
      <w:r>
        <w:t>OpenAI Enterprise Privacy page. OpenAI states that business data is not used for training by default, but may be processed through safety tools/classifiers, retained for limited periods for API use, accessed for abuse investigation or legal compliance, and subject to administrator controls depending on product.</w:t>
      </w:r>
    </w:p>
    <w:p w14:paraId="0D866087" w14:textId="77777777" w:rsidR="00F95F1B" w:rsidRDefault="00B122E0">
      <w:pPr>
        <w:pStyle w:val="Reference"/>
        <w:tabs>
          <w:tab w:val="left" w:pos="360"/>
        </w:tabs>
        <w:spacing w:after="80"/>
      </w:pPr>
      <w:r>
        <w:t>12.</w:t>
      </w:r>
      <w:r>
        <w:tab/>
      </w:r>
      <w:r>
        <w:t>Microsoft documentation for Foundry/Azure OpenAI data, privacy, and security states that prompts and completions may be processed for filtering and abuse monitoring, with review workflows and possible throttling or suspension for severe or recurring abuse.</w:t>
      </w:r>
    </w:p>
    <w:p w14:paraId="7731DC3A" w14:textId="77777777" w:rsidR="00F95F1B" w:rsidRDefault="00B122E0">
      <w:pPr>
        <w:pStyle w:val="Reference"/>
        <w:tabs>
          <w:tab w:val="left" w:pos="360"/>
        </w:tabs>
        <w:spacing w:after="80"/>
      </w:pPr>
      <w:r>
        <w:t>13.</w:t>
      </w:r>
      <w:r>
        <w:tab/>
        <w:t>OpenAI Status History, reviewed September 13, 2026, lists recent API, ChatGPT, Codex, SSO, model-specific error, account, and degraded-performance incidents, demonstrating operational reliability risk for specific services and features.</w:t>
      </w:r>
      <w:r>
        <w:t xml:space="preserve"> These incidents establish operational reliability risk; they do not independently prove structural policy failure or quantify its likelihood.</w:t>
      </w:r>
    </w:p>
    <w:p w14:paraId="4EDA9E52" w14:textId="77777777" w:rsidR="00F95F1B" w:rsidRDefault="00B122E0">
      <w:pPr>
        <w:pStyle w:val="Reference"/>
        <w:tabs>
          <w:tab w:val="left" w:pos="360"/>
        </w:tabs>
        <w:spacing w:after="80"/>
      </w:pPr>
      <w:r>
        <w:t>14.</w:t>
      </w:r>
      <w:r>
        <w:tab/>
        <w:t>NIST AI Risk Management Framework and generative-AI profile materials frame AI risk as an organizational governance and lifecycle-management problem, not merely a model-performance problem.</w:t>
      </w:r>
    </w:p>
    <w:p w14:paraId="33F8965E" w14:textId="77777777" w:rsidR="00F95F1B" w:rsidRDefault="00B122E0">
      <w:pPr>
        <w:pStyle w:val="Reference"/>
        <w:tabs>
          <w:tab w:val="left" w:pos="360"/>
        </w:tabs>
        <w:spacing w:after="80"/>
      </w:pPr>
      <w:r>
        <w:t>15.</w:t>
      </w:r>
      <w:r>
        <w:tab/>
      </w:r>
      <w:r>
        <w:t>OWASP Top 10 for LLM and GenAI Applications 2025 identifies risks including prompt injection, sensitive information disclosure, supply-chain risk, data/model poisoning, improper output handling, excessive agency, and unbounded consumption.</w:t>
      </w:r>
    </w:p>
    <w:p w14:paraId="62AD612C" w14:textId="77777777" w:rsidR="00F95F1B" w:rsidRDefault="00B122E0">
      <w:pPr>
        <w:pStyle w:val="Reference"/>
        <w:tabs>
          <w:tab w:val="left" w:pos="360"/>
        </w:tabs>
        <w:spacing w:after="80"/>
      </w:pPr>
      <w:r>
        <w:t>16.</w:t>
      </w:r>
      <w:r>
        <w:tab/>
        <w:t>Google Cloud RAG Engine documentation explains retrieval-augmented generation as an architecture for grounding model output in enterprise-owned data through ingestion, embedding, indexing, retrieval, and contextual generation.</w:t>
      </w:r>
    </w:p>
    <w:p w14:paraId="3075CAB3" w14:textId="77777777" w:rsidR="00F95F1B" w:rsidRDefault="00B122E0">
      <w:pPr>
        <w:pStyle w:val="Reference"/>
        <w:tabs>
          <w:tab w:val="left" w:pos="360"/>
        </w:tabs>
        <w:spacing w:after="80"/>
      </w:pPr>
      <w:r>
        <w:t>17.</w:t>
      </w:r>
      <w:r>
        <w:tab/>
      </w:r>
      <w:r>
        <w:t>Microsoft Azure OpenAI private-network documentation describes private endpoints and virtual networks for securing cloud AI access, illustrating that even cloud AI is moving toward segmented, controlled enterprise deployment.</w:t>
      </w:r>
    </w:p>
    <w:p w14:paraId="31EDF637" w14:textId="77777777" w:rsidR="00F95F1B" w:rsidRDefault="00B122E0">
      <w:pPr>
        <w:pStyle w:val="Reference"/>
        <w:tabs>
          <w:tab w:val="left" w:pos="360"/>
        </w:tabs>
        <w:spacing w:after="80"/>
      </w:pPr>
      <w:r>
        <w:t>18.</w:t>
      </w:r>
      <w:r>
        <w:tab/>
      </w:r>
      <w:r>
        <w:t>The White House, Winning the AI Race: America’s AI Action Plan, July 2025. The plan frames AI as a race for global dominance, calls for exporting the American AI stack to allies and partners, and emphasizes export-control enforcement and national-security evaluation of frontier models.</w:t>
      </w:r>
    </w:p>
    <w:p w14:paraId="110B76DF" w14:textId="77777777" w:rsidR="00F95F1B" w:rsidRDefault="00B122E0">
      <w:pPr>
        <w:pStyle w:val="Reference"/>
        <w:tabs>
          <w:tab w:val="left" w:pos="360"/>
        </w:tabs>
        <w:spacing w:after="80"/>
      </w:pPr>
      <w:r>
        <w:t>19.</w:t>
      </w:r>
      <w:r>
        <w:tab/>
        <w:t>European Commission, EU AI Act policy materials. The EU describes a risk-based AI regulatory framework with bans on unacceptable-risk practices, obligations for high-risk systems, and rules for general-purpose AI models.</w:t>
      </w:r>
    </w:p>
    <w:p w14:paraId="7FDC0926" w14:textId="77777777" w:rsidR="00F95F1B" w:rsidRDefault="00B122E0">
      <w:pPr>
        <w:pStyle w:val="Reference"/>
        <w:tabs>
          <w:tab w:val="left" w:pos="360"/>
        </w:tabs>
        <w:spacing w:after="80"/>
      </w:pPr>
      <w:r>
        <w:t>20.</w:t>
      </w:r>
      <w:r>
        <w:tab/>
        <w:t>European Commission, AI Factories initiative. The EU is investing in AI Factories and AI Gigafactories to expand regional AI compute capacity and support sovereign AI infrastructure.</w:t>
      </w:r>
    </w:p>
    <w:p w14:paraId="3757E33A" w14:textId="77777777" w:rsidR="00F95F1B" w:rsidRDefault="00B122E0">
      <w:pPr>
        <w:pStyle w:val="Reference"/>
        <w:tabs>
          <w:tab w:val="left" w:pos="360"/>
        </w:tabs>
        <w:spacing w:after="80"/>
      </w:pPr>
      <w:r>
        <w:t>21.</w:t>
      </w:r>
      <w:r>
        <w:tab/>
        <w:t>Cyberspace Administration of China, Interim Measures for the Management of Generative AI Services, July 2023. The rules apply to public-facing generative AI services in China and include national-security, content, data, and algorithm-filing obligations.</w:t>
      </w:r>
    </w:p>
    <w:p w14:paraId="41B4FB9E" w14:textId="77777777" w:rsidR="00F95F1B" w:rsidRDefault="00B122E0">
      <w:pPr>
        <w:pStyle w:val="Reference"/>
        <w:tabs>
          <w:tab w:val="left" w:pos="360"/>
        </w:tabs>
        <w:spacing w:after="80"/>
      </w:pPr>
      <w:r>
        <w:t>22.</w:t>
      </w:r>
      <w:r>
        <w:tab/>
      </w:r>
      <w:r>
        <w:t>OpenAI open-model page and the gpt-oss-120b/gpt-oss-20b model card describe open-weight locally runnable models released under Apache 2.0, with versions sized for data-center and smaller-device deployment.</w:t>
      </w:r>
    </w:p>
    <w:p w14:paraId="5725A42E" w14:textId="77777777" w:rsidR="00F95F1B" w:rsidRDefault="00B122E0">
      <w:pPr>
        <w:pStyle w:val="Reference"/>
        <w:tabs>
          <w:tab w:val="left" w:pos="360"/>
        </w:tabs>
        <w:spacing w:after="80"/>
      </w:pPr>
      <w:r>
        <w:t>23.</w:t>
      </w:r>
      <w:r>
        <w:tab/>
        <w:t>Hugging Face Terms of Service define models as including algorithms and weights and state that repositories can be public or private, while Hugging Face retains rights to modify terms and suspend/terminate access under its services.</w:t>
      </w:r>
    </w:p>
    <w:p w14:paraId="5A185300" w14:textId="77777777" w:rsidR="00F95F1B" w:rsidRDefault="00B122E0">
      <w:pPr>
        <w:pStyle w:val="Reference"/>
        <w:tabs>
          <w:tab w:val="left" w:pos="360"/>
        </w:tabs>
        <w:spacing w:after="80"/>
      </w:pPr>
      <w:r>
        <w:t>24.</w:t>
      </w:r>
      <w:r>
        <w:tab/>
      </w:r>
      <w:r>
        <w:t>Meta Llama download flow requests identifying information such as name, date of birth, organization, country/region, affiliation, and job title, illustrating that some open-weight distribution remains gated at the access layer.</w:t>
      </w:r>
    </w:p>
    <w:p w14:paraId="7234FC1E" w14:textId="77777777" w:rsidR="00F95F1B" w:rsidRDefault="00B122E0">
      <w:pPr>
        <w:pStyle w:val="Reference"/>
        <w:tabs>
          <w:tab w:val="left" w:pos="360"/>
        </w:tabs>
        <w:spacing w:after="80"/>
      </w:pPr>
      <w:r>
        <w:t>25.</w:t>
      </w:r>
      <w:r>
        <w:tab/>
        <w:t>OpenAI Agents SDK documentation and Anthropic Claude computer-use documentation show agentic AI moving toward orchestration, tool use, sandboxing, observability, and model-directed interaction with computer environments.</w:t>
      </w:r>
    </w:p>
    <w:p w14:paraId="75B8F1EC" w14:textId="77777777" w:rsidR="00F95F1B" w:rsidRDefault="00B122E0">
      <w:pPr>
        <w:pStyle w:val="Reference"/>
        <w:tabs>
          <w:tab w:val="left" w:pos="360"/>
        </w:tabs>
        <w:spacing w:after="80"/>
      </w:pPr>
      <w:r>
        <w:t>26.</w:t>
      </w:r>
      <w:r>
        <w:tab/>
      </w:r>
      <w:r>
        <w:t>International Energy Agency, Energy and AI, April 2025. The report states that there is no AI without energy, specifically electricity for data centers, and analyzes AI electricity demand, energy security, emissions, and affordability.</w:t>
      </w:r>
    </w:p>
    <w:p w14:paraId="5325E1A5" w14:textId="77777777" w:rsidR="00F95F1B" w:rsidRDefault="00B122E0">
      <w:pPr>
        <w:pStyle w:val="Reference"/>
        <w:tabs>
          <w:tab w:val="left" w:pos="360"/>
        </w:tabs>
        <w:spacing w:after="80"/>
      </w:pPr>
      <w:r>
        <w:t>27.</w:t>
      </w:r>
      <w:r>
        <w:tab/>
        <w:t>North American Electric Reliability Corporation, 2024 Long-Term Reliability Assessment, corrected July 2025. NERC identifies data centers, AI, and other large loads as rapidly connecting to the grid and creating planning and reliability challenges.</w:t>
      </w:r>
    </w:p>
    <w:p w14:paraId="6F4E5AF8" w14:textId="77777777" w:rsidR="00F95F1B" w:rsidRDefault="00B122E0">
      <w:pPr>
        <w:pStyle w:val="Reference"/>
        <w:tabs>
          <w:tab w:val="left" w:pos="360"/>
        </w:tabs>
        <w:spacing w:after="80"/>
      </w:pPr>
      <w:r>
        <w:t>28.</w:t>
      </w:r>
      <w:r>
        <w:tab/>
      </w:r>
      <w:r>
        <w:t>Stanford HAI, 2025 AI Index Report. The report documents rapid AI adoption, declining inference costs, improving hardware/energy efficiency, and narrowing performance gaps between open-weight and closed models on some benchmarks.</w:t>
      </w:r>
    </w:p>
    <w:p w14:paraId="2C04C8BE" w14:textId="77777777" w:rsidR="00F95F1B" w:rsidRDefault="00B122E0">
      <w:pPr>
        <w:pStyle w:val="Reference"/>
        <w:tabs>
          <w:tab w:val="left" w:pos="360"/>
        </w:tabs>
        <w:spacing w:after="80"/>
      </w:pPr>
      <w:r>
        <w:t>29.</w:t>
      </w:r>
      <w:r>
        <w:tab/>
        <w:t>Pew Research Center, "How the U.S. Public and AI Experts View Artificial Intelligence," April 3, 2025. Pew finds major gaps between AI experts and the public, with broad public concern about AI’s effect on jobs and confidence in responsible corporate AI use.</w:t>
      </w:r>
    </w:p>
    <w:p w14:paraId="4E95E32F" w14:textId="77777777" w:rsidR="00F95F1B" w:rsidRDefault="00B122E0">
      <w:pPr>
        <w:pStyle w:val="Reference"/>
        <w:tabs>
          <w:tab w:val="left" w:pos="360"/>
        </w:tabs>
        <w:spacing w:after="80"/>
      </w:pPr>
      <w:r>
        <w:t>30.</w:t>
      </w:r>
      <w:r>
        <w:tab/>
      </w:r>
      <w:r>
        <w:t>Federal Reserve Bank of New York, Labor Market for Recent College Graduates. The tracker reports continuing labor-market challenges for recent graduates, including unemployment and underemployment measures.</w:t>
      </w:r>
    </w:p>
    <w:p w14:paraId="67396AD2" w14:textId="77777777" w:rsidR="00F95F1B" w:rsidRDefault="00B122E0">
      <w:pPr>
        <w:pStyle w:val="Reference"/>
        <w:tabs>
          <w:tab w:val="left" w:pos="360"/>
        </w:tabs>
        <w:spacing w:after="80"/>
      </w:pPr>
      <w:r>
        <w:t>31.</w:t>
      </w:r>
      <w:r>
        <w:tab/>
        <w:t>Historical context: Google’s early "Don’t be evil" motto became part of its public identity, but the report relies on current Google/Gemini contractual and technical controls rather than corporate mottos as evidence of access control.</w:t>
      </w:r>
    </w:p>
    <w:sectPr w:rsidR="00F95F1B" w:rsidSect="00034616">
      <w:footerReference w:type="default" r:id="rId47"/>
      <w:pgSz w:w="12240" w:h="15840"/>
      <w:pgMar w:top="1123" w:right="1224" w:bottom="1123" w:left="1224"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AECF9" w14:textId="77777777" w:rsidR="00B122E0" w:rsidRDefault="00B122E0">
      <w:pPr>
        <w:spacing w:after="0" w:line="240" w:lineRule="auto"/>
      </w:pPr>
      <w:r>
        <w:separator/>
      </w:r>
    </w:p>
  </w:endnote>
  <w:endnote w:type="continuationSeparator" w:id="0">
    <w:p w14:paraId="713D8620" w14:textId="77777777" w:rsidR="00B122E0" w:rsidRDefault="00B12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D1ED" w14:textId="77777777" w:rsidR="00F95F1B" w:rsidRDefault="00B122E0">
    <w:pPr>
      <w:pStyle w:val="Footer"/>
      <w:jc w:val="right"/>
    </w:pPr>
    <w:r>
      <w:fldChar w:fldCharType="begin"/>
    </w:r>
    <w:r>
      <w:instrText>PAGE</w:instrText>
    </w:r>
    <w:r>
      <w:fldChar w:fldCharType="separate"/>
    </w:r>
    <w:r w:rsidR="00FD1F7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CFFC0" w14:textId="77777777" w:rsidR="00B122E0" w:rsidRDefault="00B122E0">
      <w:pPr>
        <w:spacing w:after="0" w:line="240" w:lineRule="auto"/>
      </w:pPr>
      <w:r>
        <w:separator/>
      </w:r>
    </w:p>
  </w:footnote>
  <w:footnote w:type="continuationSeparator" w:id="0">
    <w:p w14:paraId="0DACF63F" w14:textId="77777777" w:rsidR="00B122E0" w:rsidRDefault="00B12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2912276">
    <w:abstractNumId w:val="8"/>
  </w:num>
  <w:num w:numId="2" w16cid:durableId="117073980">
    <w:abstractNumId w:val="6"/>
  </w:num>
  <w:num w:numId="3" w16cid:durableId="303005628">
    <w:abstractNumId w:val="5"/>
  </w:num>
  <w:num w:numId="4" w16cid:durableId="1892421720">
    <w:abstractNumId w:val="4"/>
  </w:num>
  <w:num w:numId="5" w16cid:durableId="1870145820">
    <w:abstractNumId w:val="7"/>
  </w:num>
  <w:num w:numId="6" w16cid:durableId="1211721899">
    <w:abstractNumId w:val="3"/>
  </w:num>
  <w:num w:numId="7" w16cid:durableId="1014649968">
    <w:abstractNumId w:val="2"/>
  </w:num>
  <w:num w:numId="8" w16cid:durableId="1758553596">
    <w:abstractNumId w:val="1"/>
  </w:num>
  <w:num w:numId="9" w16cid:durableId="1107770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3D0E"/>
    <w:rsid w:val="0029639D"/>
    <w:rsid w:val="002D5F3C"/>
    <w:rsid w:val="00326F90"/>
    <w:rsid w:val="00480701"/>
    <w:rsid w:val="00502314"/>
    <w:rsid w:val="008F3423"/>
    <w:rsid w:val="00AA1D8D"/>
    <w:rsid w:val="00B122E0"/>
    <w:rsid w:val="00B47730"/>
    <w:rsid w:val="00BA5CFC"/>
    <w:rsid w:val="00CB0664"/>
    <w:rsid w:val="00D51C46"/>
    <w:rsid w:val="00E04479"/>
    <w:rsid w:val="00EA36F4"/>
    <w:rsid w:val="00F95F1B"/>
    <w:rsid w:val="00FC693F"/>
    <w:rsid w:val="00FD1F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985338"/>
  <w14:defaultImageDpi w14:val="300"/>
  <w15:docId w15:val="{4EFDF404-EC3D-446F-96C4-B4C142BE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Cambria" w:hAnsi="Cambria"/>
      <w:color w:val="000000"/>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sz w:val="18"/>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mbria" w:hAnsi="Cambria"/>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80" w:line="240" w:lineRule="auto"/>
      <w:contextualSpacing/>
    </w:pPr>
    <w:rPr>
      <w:rFonts w:asciiTheme="majorHAnsi" w:eastAsiaTheme="majorEastAsia" w:hAnsiTheme="majorHAnsi" w:cstheme="majorBidi"/>
      <w: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after="240"/>
    </w:pPr>
    <w:rPr>
      <w:rFonts w:asciiTheme="majorHAnsi" w:eastAsiaTheme="majorEastAsia" w:hAnsiTheme="majorHAnsi" w:cstheme="majorBidi"/>
      <w:iCs/>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mbria" w:hAnsi="Cambria"/>
      <w:color w:val="00000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mbria" w:hAnsi="Cambria"/>
      <w:sz w:val="22"/>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1">
    <w:name w:val="Footnote Text1"/>
    <w:basedOn w:val="Normal"/>
    <w:pPr>
      <w:keepLines/>
      <w:spacing w:after="80" w:line="240" w:lineRule="auto"/>
      <w:ind w:left="259" w:hanging="259"/>
    </w:pPr>
    <w:rPr>
      <w:sz w:val="18"/>
    </w:rPr>
  </w:style>
  <w:style w:type="paragraph" w:customStyle="1" w:styleId="Reference">
    <w:name w:val="Reference"/>
    <w:basedOn w:val="Normal"/>
    <w:pPr>
      <w:keepLines/>
      <w:spacing w:line="240" w:lineRule="auto"/>
      <w:ind w:left="360" w:hanging="360"/>
    </w:pPr>
    <w:rPr>
      <w:sz w:val="20"/>
    </w:rPr>
  </w:style>
  <w:style w:type="paragraph" w:customStyle="1" w:styleId="TableBody">
    <w:name w:val="Table Body"/>
    <w:basedOn w:val="Normal"/>
    <w:pPr>
      <w:spacing w:after="100" w:line="240" w:lineRule="auto"/>
    </w:pPr>
    <w:rPr>
      <w:rFonts w:ascii="Calibri" w:hAnsi="Calibri"/>
      <w:sz w:val="20"/>
    </w:rPr>
  </w:style>
  <w:style w:type="paragraph" w:customStyle="1" w:styleId="CoverMetadata">
    <w:name w:val="Cover Metadata"/>
    <w:basedOn w:val="Normal"/>
    <w:pPr>
      <w:spacing w:after="10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penai.com/policies/terms-of-use/" TargetMode="External"/><Relationship Id="rId18" Type="http://schemas.openxmlformats.org/officeDocument/2006/relationships/hyperlink" Target="https://platform.openai.com/docs/guides/agents" TargetMode="External"/><Relationship Id="rId26" Type="http://schemas.openxmlformats.org/officeDocument/2006/relationships/hyperlink" Target="https://www.federalregister.gov/documents/2025/01/15/2025-00636/framework-for-artificial-intelligence-diffusion" TargetMode="External"/><Relationship Id="rId39" Type="http://schemas.openxmlformats.org/officeDocument/2006/relationships/hyperlink" Target="https://www.nerc.com/pa/RAPA/ra/Reliability%20Assessments%20DL/NERC_Long%20Term%20Reliability%20Assessment_2024.pdf" TargetMode="External"/><Relationship Id="rId21" Type="http://schemas.openxmlformats.org/officeDocument/2006/relationships/hyperlink" Target="https://developers.google.com/terms" TargetMode="External"/><Relationship Id="rId34" Type="http://schemas.openxmlformats.org/officeDocument/2006/relationships/hyperlink" Target="https://learn.microsoft.com/en-us/azure/foundry/responsible-ai/openai/data-privacy" TargetMode="External"/><Relationship Id="rId42" Type="http://schemas.openxmlformats.org/officeDocument/2006/relationships/hyperlink" Target="https://www.newyorkfed.org/research/college-labor-marke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penai.com/open-models/" TargetMode="External"/><Relationship Id="rId29" Type="http://schemas.openxmlformats.org/officeDocument/2006/relationships/hyperlink" Target="https://digital-strategy.ec.europa.eu/en/policies/regulatory-framework-ai" TargetMode="External"/><Relationship Id="rId11" Type="http://schemas.openxmlformats.org/officeDocument/2006/relationships/hyperlink" Target="https://platform.claude.com/docs/en/agents-and-tools/tool-use/computer-use-tool" TargetMode="External"/><Relationship Id="rId24" Type="http://schemas.openxmlformats.org/officeDocument/2006/relationships/hyperlink" Target="https://x.ai/legal/terms-of-service-enterprise" TargetMode="External"/><Relationship Id="rId32" Type="http://schemas.openxmlformats.org/officeDocument/2006/relationships/hyperlink" Target="https://www.nist.gov/itl/ai-risk-management-framework" TargetMode="External"/><Relationship Id="rId37" Type="http://schemas.openxmlformats.org/officeDocument/2006/relationships/hyperlink" Target="https://www.llama.com/llama-downloads/" TargetMode="External"/><Relationship Id="rId40" Type="http://schemas.openxmlformats.org/officeDocument/2006/relationships/hyperlink" Target="https://hai.stanford.edu/ai-index/2025-ai-index-report" TargetMode="External"/><Relationship Id="rId45" Type="http://schemas.openxmlformats.org/officeDocument/2006/relationships/hyperlink" Target="https://www.wired.com/2010/04/playstation-linux" TargetMode="External"/><Relationship Id="rId5" Type="http://schemas.openxmlformats.org/officeDocument/2006/relationships/webSettings" Target="webSettings.xml"/><Relationship Id="rId15" Type="http://schemas.openxmlformats.org/officeDocument/2006/relationships/hyperlink" Target="https://help.openai.com/en/articles/5347006-openai-api-supported-countries-and-territories" TargetMode="External"/><Relationship Id="rId23" Type="http://schemas.openxmlformats.org/officeDocument/2006/relationships/hyperlink" Target="https://x.ai/legal/terms-of-service" TargetMode="External"/><Relationship Id="rId28" Type="http://schemas.openxmlformats.org/officeDocument/2006/relationships/hyperlink" Target="https://www.whitehouse.gov/wp-content/uploads/2025/07/Americas-AI-Action-Plan.pdf" TargetMode="External"/><Relationship Id="rId36" Type="http://schemas.openxmlformats.org/officeDocument/2006/relationships/hyperlink" Target="https://huggingface.co/terms-of-service" TargetMode="External"/><Relationship Id="rId49" Type="http://schemas.openxmlformats.org/officeDocument/2006/relationships/theme" Target="theme/theme1.xml"/><Relationship Id="rId10" Type="http://schemas.openxmlformats.org/officeDocument/2006/relationships/hyperlink" Target="https://www.anthropic.com/legal/consumer-terms" TargetMode="External"/><Relationship Id="rId19" Type="http://schemas.openxmlformats.org/officeDocument/2006/relationships/hyperlink" Target="https://status.openai.com/history" TargetMode="External"/><Relationship Id="rId31" Type="http://schemas.openxmlformats.org/officeDocument/2006/relationships/hyperlink" Target="https://www.cac.gov.cn/2023-07/13/c_1690898327029107.htm" TargetMode="External"/><Relationship Id="rId44" Type="http://schemas.openxmlformats.org/officeDocument/2006/relationships/hyperlink" Target="https://www.wired.com/2000/06/ps2-inside" TargetMode="External"/><Relationship Id="rId4" Type="http://schemas.openxmlformats.org/officeDocument/2006/relationships/settings" Target="settings.xml"/><Relationship Id="rId9" Type="http://schemas.openxmlformats.org/officeDocument/2006/relationships/hyperlink" Target="https://www.anthropic.com/legal/commercial-terms" TargetMode="External"/><Relationship Id="rId14" Type="http://schemas.openxmlformats.org/officeDocument/2006/relationships/hyperlink" Target="https://openai.com/enterprise-privacy/" TargetMode="External"/><Relationship Id="rId22" Type="http://schemas.openxmlformats.org/officeDocument/2006/relationships/hyperlink" Target="https://docs.cloud.google.com/gemini-enterprise-agent-platform/build/rag-engine/rag-overview" TargetMode="External"/><Relationship Id="rId27" Type="http://schemas.openxmlformats.org/officeDocument/2006/relationships/hyperlink" Target="https://www.ecfr.gov/current/title-15/part-734/section-734.13" TargetMode="External"/><Relationship Id="rId30" Type="http://schemas.openxmlformats.org/officeDocument/2006/relationships/hyperlink" Target="https://digital-strategy.ec.europa.eu/en/policies/ai-factories" TargetMode="External"/><Relationship Id="rId35" Type="http://schemas.openxmlformats.org/officeDocument/2006/relationships/hyperlink" Target="https://learn.microsoft.com/en-us/azure/foundry-classic/openai/how-to/network" TargetMode="External"/><Relationship Id="rId43" Type="http://schemas.openxmlformats.org/officeDocument/2006/relationships/hyperlink" Target="https://www.tomshardware.com/tech-industry/apple-made-marketing-gold-from-the-power-mac-g4-supercomputer-export-ban-in-1999-pentagon-banned-sales-of-the-400-mhz-g4-in-50-countries-when-it-launched-and-became-the-first-pc-to-be-classed-as-a-weapon" TargetMode="External"/><Relationship Id="rId48" Type="http://schemas.openxmlformats.org/officeDocument/2006/relationships/fontTable" Target="fontTable.xml"/><Relationship Id="rId8" Type="http://schemas.openxmlformats.org/officeDocument/2006/relationships/hyperlink" Target="https://www.anthropic.com/news/fable-mythos-access" TargetMode="External"/><Relationship Id="rId3" Type="http://schemas.openxmlformats.org/officeDocument/2006/relationships/styles" Target="styles.xml"/><Relationship Id="rId12" Type="http://schemas.openxmlformats.org/officeDocument/2006/relationships/hyperlink" Target="https://openai.com/policies/services-agreement/" TargetMode="External"/><Relationship Id="rId17" Type="http://schemas.openxmlformats.org/officeDocument/2006/relationships/hyperlink" Target="https://arxiv.org/abs/2508.10925" TargetMode="External"/><Relationship Id="rId25" Type="http://schemas.openxmlformats.org/officeDocument/2006/relationships/hyperlink" Target="https://x.ai/legal/acceptable-use-policy" TargetMode="External"/><Relationship Id="rId33" Type="http://schemas.openxmlformats.org/officeDocument/2006/relationships/hyperlink" Target="https://genai.owasp.org/llm-top-10/" TargetMode="External"/><Relationship Id="rId38" Type="http://schemas.openxmlformats.org/officeDocument/2006/relationships/hyperlink" Target="https://www.iea.org/reports/energy-and-ai" TargetMode="External"/><Relationship Id="rId46" Type="http://schemas.openxmlformats.org/officeDocument/2006/relationships/hyperlink" Target="https://time.com/4060575/alphabet-google-dont-be-evil/" TargetMode="External"/><Relationship Id="rId20" Type="http://schemas.openxmlformats.org/officeDocument/2006/relationships/hyperlink" Target="https://ai.google.dev/gemini-api/terms" TargetMode="External"/><Relationship Id="rId41" Type="http://schemas.openxmlformats.org/officeDocument/2006/relationships/hyperlink" Target="https://www.pewresearch.org/internet/2025/04/03/how-the-us-public-and-ai-experts-view-artificial-intelligenc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6122</Words>
  <Characters>34897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AI as a Structural Point of Failure — The Case for Sovereign AI</dc:title>
  <dc:subject>Local AI control in medium-to-large businesses</dc:subject>
  <dc:creator>python-docx</dc:creator>
  <cp:keywords/>
  <dc:description>generated by python-docx</dc:description>
  <cp:lastModifiedBy>John Salm</cp:lastModifiedBy>
  <cp:revision>2</cp:revision>
  <dcterms:created xsi:type="dcterms:W3CDTF">2026-09-13T20:16:00Z</dcterms:created>
  <dcterms:modified xsi:type="dcterms:W3CDTF">2026-09-13T20:16:00Z</dcterms:modified>
  <cp:category/>
</cp:coreProperties>
</file>